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IMOLA EMESE</w:t>
            </w:r>
          </w:p>
          <w:p w:rsidR="00C275A3" w:rsidRDefault="00A96AEC" w:rsidP="00C275A3">
            <w:pPr>
              <w:pStyle w:val="Hallgatokepzes"/>
            </w:pPr>
            <w:r>
              <w:t>Építész</w:t>
            </w:r>
            <w:r>
              <w:br/>
            </w:r>
            <w:r w:rsidR="00E77B23">
              <w:t>Osztatlan, 7. félév</w:t>
            </w:r>
          </w:p>
          <w:p w:rsidR="00C265CE" w:rsidRPr="009E5FF1" w:rsidRDefault="00E77B23" w:rsidP="00C275A3">
            <w:pPr>
              <w:pStyle w:val="Hallgatokepzes"/>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Varga Imre</w:t>
            </w:r>
          </w:p>
          <w:p w:rsidR="00DB4822" w:rsidRDefault="00DB4822" w:rsidP="00E11062">
            <w:pPr>
              <w:pStyle w:val="Konzulensek"/>
            </w:pPr>
            <w:r w:rsidRPr="00DB4822">
              <w:t>mestertanár, BME ÉSZK</w:t>
            </w:r>
          </w:p>
        </w:tc>
      </w:tr>
      <w:tr w:rsidR="00DB4822" w:rsidTr="00DB4822">
        <w:tc>
          <w:tcPr>
            <w:tcW w:w="9854" w:type="dxa"/>
          </w:tcPr>
          <w:p w:rsidR="00DB4822" w:rsidRPr="00DB4822" w:rsidRDefault="00DB4822" w:rsidP="004D7940">
            <w:pPr>
              <w:pStyle w:val="Konzulensek"/>
            </w:pPr>
            <w:r w:rsidRPr="00DB4822">
              <w:t>Szendrei Zsolt</w:t>
            </w:r>
          </w:p>
          <w:p w:rsidR="00DB4822" w:rsidRDefault="00DB4822" w:rsidP="00E11062">
            <w:pPr>
              <w:pStyle w:val="Konzulensek"/>
            </w:pPr>
            <w:r w:rsidRPr="00DB4822">
              <w:t>PhD hallgató, BME ÉSZK</w:t>
            </w:r>
          </w:p>
        </w:tc>
      </w:tr>
      <w:tr w:rsidR="00DB4822" w:rsidTr="00DB4822">
        <w:tc>
          <w:tcPr>
            <w:tcW w:w="9854" w:type="dxa"/>
          </w:tcPr>
          <w:p w:rsidR="00DB4822" w:rsidRPr="00DB4822" w:rsidRDefault="00DB4822" w:rsidP="004D7940">
            <w:pPr>
              <w:pStyle w:val="Konzulensek"/>
            </w:pPr>
            <w:r w:rsidRPr="00DB4822">
              <w:t>Kóródy Anna</w:t>
            </w:r>
          </w:p>
          <w:p w:rsidR="00DB4822" w:rsidRDefault="00DB4822" w:rsidP="00E11062">
            <w:pPr>
              <w:pStyle w:val="Konzulensek"/>
            </w:pPr>
            <w:r w:rsidRPr="00DB4822">
              <w:t>PhD hallgató,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Kockastílus-gyakolatok - sátortetős kockaházak Milotán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2011-es urbanisztikai falukutató tábor keretén belül egy Felső-Tisza vidéki aprófaluban végzett ház felmérések okán vizsgáltam meg a kockaház, mint a XX. századi faluképet egyik legkarakteresebben átalakító házformának az eredetét, jelenét és jövőjét. Fontosnak tartom, hogy elkezdjünk újra foglalkozni ezzel az építészeti derivátummal és ezúttal másképpen megközelítve a témát, nem sztereotípiákkal, mint ahogy az a saját „fénykorában” jellemző volt. Fontos azért, mert minden ellenpropaganda ellenére óriási pályafutást tudhat magáénak, és az egész országban elterjedt, és azért is, mert megjelenése óta eltelt 50 év az elavulásukat is hozta, egyre több átépítésre kerülhet így sor.</w:t>
      </w:r>
    </w:p>
    <w:p>
      <w:pPr>
        <w:pBdr/>
        <w:spacing w:before="240" w:after="240" w:line="240" w:lineRule="auto"/>
        <w:ind w:left="0" w:right="0"/>
        <w:jc w:val="left"/>
      </w:pPr>
      <w:r>
        <w:rPr>
          <w:color w:val="000000"/>
          <w:sz w:val="24"/>
          <w:szCs w:val="24"/>
        </w:rPr>
        <w:t xml:space="preserve">A dolgozatomban külön kitértem a kor társadalmi, politikai, gazdasági hátterére, mint korszellemet meghatározó erőkre, és a vizsgált faluban lezajló szociológiai, gazdasági folyamatokra. A szempontokat az alábbi címekkel csoportosítottam: előzmények, okok, szükségek, lehetőségek, problémák, amely a SWOT-elemzés mintájára, több oldalról közelíti meg a kockaház jelenségét.</w:t>
      </w:r>
    </w:p>
    <w:p>
      <w:pPr>
        <w:pBdr/>
        <w:spacing w:before="240" w:after="240" w:line="240" w:lineRule="auto"/>
        <w:ind w:left="0" w:right="0"/>
        <w:jc w:val="left"/>
      </w:pPr>
      <w:r>
        <w:rPr>
          <w:color w:val="000000"/>
          <w:sz w:val="24"/>
          <w:szCs w:val="24"/>
        </w:rPr>
        <w:t xml:space="preserve">A részletes elemzéseket a tábor során gyűjtött adatok, a helyiekkel készített interjúk és a felmért, illetve vizsgált épületek helyszínrajzainak és alaprajzainak a feldolgozása előzte meg. Ezekből adatlapok készültek, amelyek – a felkutatott szakirodalmon kívül - a dolgozat egyik legfőbb, saját gyűjtésű forrását jelentik.</w:t>
      </w:r>
    </w:p>
    <w:p>
      <w:pPr>
        <w:pBdr/>
        <w:spacing w:before="240" w:after="240" w:line="240" w:lineRule="auto"/>
        <w:ind w:left="0" w:right="0"/>
        <w:jc w:val="left"/>
      </w:pPr>
      <w:r>
        <w:rPr>
          <w:color w:val="000000"/>
          <w:sz w:val="24"/>
          <w:szCs w:val="24"/>
        </w:rPr>
        <w:t xml:space="preserve">A dolgozat fő egységét a reprezentatív felmérésből származó adatok összegzéséről és csoportosításáról szóló fejezet adja. Az alábbi szempontok alapján vizsgáltam a témát: építés módja, alaprajzi elrendezés, telekhasználat és településszövetben való elhelyezkedés. Mindegyik részben sikerült egyértelműen elkülöníthető csoportokat meghatároznom, amelyekből további következtetéseket lehetett levonni pl. az alaprajzi elrendezések esetében vázoltam a „milotai” kockaházak háztipológiáját.</w:t>
      </w:r>
    </w:p>
    <w:p>
      <w:pPr>
        <w:pBdr/>
        <w:spacing w:before="240" w:after="240" w:line="240" w:lineRule="auto"/>
        <w:ind w:left="0" w:right="0"/>
        <w:jc w:val="left"/>
      </w:pPr>
      <w:r>
        <w:rPr>
          <w:color w:val="000000"/>
          <w:sz w:val="24"/>
          <w:szCs w:val="24"/>
        </w:rPr>
        <w:t xml:space="preserve">Összehasonlítottam a „kockaház” korai megítélését az építészek, a néprajzosok és a falusi ember szemével, valamint a mai álláspontra is választ kerestem, hogy mennyire elfogadott, ki mennyit tud róla, ma hogyan tekintünk ezekre az épületekre.</w:t>
      </w:r>
    </w:p>
    <w:p>
      <w:pPr>
        <w:pBdr/>
        <w:spacing w:before="240" w:after="240" w:line="240" w:lineRule="auto"/>
        <w:ind w:left="0" w:right="0"/>
        <w:jc w:val="left"/>
      </w:pPr>
      <w:r>
        <w:rPr>
          <w:color w:val="000000"/>
          <w:sz w:val="24"/>
          <w:szCs w:val="24"/>
        </w:rPr>
        <w:t xml:space="preserve">A tanulmányom legfőbb célja, hogy más nézőpontból mutasson be egy eddig vegyes érzelmekkel kezelt témát, hogy rávilágítani arra, hogy valójában milyen szerepet játszott és játszik a kockaház egy falu életében és képében, valamint milyen fejlődésen mehet keresztül egy típusterv az évek és az emberi igények változása által.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735540">
    <w:multiLevelType w:val="hybridMultilevel"/>
    <w:lvl w:ilvl="0" w:tplc="436193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735540">
    <w:abstractNumId w:val="817355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40256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