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VICTORIA STIFTER</w:t>
            </w:r>
          </w:p>
          <w:p w:rsidR="00C275A3" w:rsidRDefault="00A96AEC" w:rsidP="00C275A3">
            <w:pPr>
              <w:pStyle w:val="Hallgatokepzes"/>
            </w:pPr>
            <w:r>
              <w:t>Leadership and Management</w:t>
            </w:r>
            <w:r>
              <w:br/>
            </w:r>
            <w:r w:rsidR="00E77B23">
              <w:t>MSc,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Bencsik</w:t>
            </w:r>
          </w:p>
          <w:p w:rsidR="00DB4822" w:rsidRDefault="00DB4822" w:rsidP="00E11062">
            <w:pPr>
              <w:pStyle w:val="Konzulensek"/>
            </w:pPr>
            <w:r w:rsidRPr="00DB4822">
              <w:t>professor, SZE GK Szechenyi Istvan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tacit knowledge transfer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21st century tacit knowledge and its management has became a central theme of organizations and enterprises. Tacit knowledge is an invisible resource which has an enormous effect on the performance and success of a company, although it is personal, context-specific, hard to formalize and communicate. That is why it is necessary to be engaged in knowledge management. As part of a wide-range research we have examined if companies know their key workers and if they use methods and procedures knowingly to facilitate retaining their tacit knowledge in the organizational memory. We have put questions important in the scientific and organizational life in the centre of our research. In our research we aspired to involve a wide range of enterprises, so we asked small- and medium-sized enterprises, multinational companies and organizations from the for-profit and non-profit sectors. We did both qualitative and quantitative research because this is the most effective way for getting to know the problem mentioned above.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71425">
    <w:multiLevelType w:val="hybridMultilevel"/>
    <w:lvl w:ilvl="0" w:tplc="17805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71425">
    <w:abstractNumId w:val="46571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795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