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MARTINEK</w:t>
            </w:r>
          </w:p>
          <w:p w:rsidR="00C275A3" w:rsidRDefault="00A96AEC" w:rsidP="00C275A3">
            <w:pPr>
              <w:pStyle w:val="Hallgatokepzes"/>
            </w:pPr>
            <w:r>
              <w:t>Wood Science and Technology</w:t>
            </w:r>
            <w:r>
              <w:br/>
            </w:r>
            <w:r w:rsidR="00E77B23">
              <w:t>BSc, 4. semester</w:t>
            </w:r>
          </w:p>
          <w:p w:rsidR="00C265CE" w:rsidRPr="009E5FF1" w:rsidRDefault="00E77B23" w:rsidP="00C275A3">
            <w:pPr>
              <w:pStyle w:val="Hallgatokepzes"/>
              <w:rPr>
                <w:b/>
                <w:caps/>
              </w:rPr>
            </w:pPr>
            <w:r>
              <w:t>University of West Hungary</w:t>
            </w:r>
            <w:r w:rsidR="00C275A3">
              <w:br/>
            </w:r>
            <w:r w:rsidR="00DB4822">
              <w:t>Faculty of Wood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Kinga Gerencsér Dr.</w:t>
            </w:r>
          </w:p>
          <w:p w:rsidR="00DB4822" w:rsidRDefault="00DB4822" w:rsidP="00E11062">
            <w:pPr>
              <w:pStyle w:val="Konzulensek"/>
            </w:pPr>
            <w:r w:rsidRPr="00DB4822">
              <w:t>Docent, NYME FMK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Tangram Logic Puzzle Practical applications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What is a game?</w:t>
      </w:r>
    </w:p>
    <w:p>
      <w:pPr>
        <w:pBdr/>
        <w:spacing w:before="240" w:after="240" w:line="240" w:lineRule="auto"/>
        <w:ind w:left="0" w:right="0"/>
        <w:jc w:val="left"/>
      </w:pPr>
      <w:r>
        <w:rPr>
          <w:color w:val="000000"/>
          <w:sz w:val="24"/>
          <w:szCs w:val="24"/>
        </w:rPr>
        <w:t xml:space="preserve">Defining the conception of the game is not easy. This activity occurs in innumerable ways in a person’s life and its functions significantly differ in the formative years.</w:t>
      </w:r>
      <w:r>
        <w:rPr>
          <w:color w:val="000000"/>
          <w:sz w:val="24"/>
          <w:szCs w:val="24"/>
        </w:rPr>
        <w:br/>
        <w:t xml:space="preserve">The game is children’s physical, mental any psychical ground that influences their further lives. However, the game for the next generation is determined by adults. Therefore, adults are responsible for the toy they give children.</w:t>
      </w:r>
      <w:r>
        <w:rPr>
          <w:color w:val="000000"/>
          <w:sz w:val="24"/>
          <w:szCs w:val="24"/>
        </w:rPr>
        <w:br/>
        <w:t xml:space="preserve">Although several studies detail the beneficial effects of oriental skill development toys, we still know little about them. According to experts oriental skill development toys can be compulsory background materials either in kinder garden or in elementary school.</w:t>
      </w:r>
    </w:p>
    <w:p>
      <w:pPr>
        <w:pBdr/>
        <w:spacing w:before="240" w:after="240" w:line="240" w:lineRule="auto"/>
        <w:ind w:left="0" w:right="0"/>
        <w:jc w:val="left"/>
      </w:pPr>
      <w:r>
        <w:rPr>
          <w:color w:val="000000"/>
          <w:sz w:val="24"/>
          <w:szCs w:val="24"/>
        </w:rPr>
        <w:t xml:space="preserve">What is tangram?</w:t>
      </w:r>
      <w:r>
        <w:rPr>
          <w:color w:val="000000"/>
          <w:sz w:val="24"/>
          <w:szCs w:val="24"/>
        </w:rPr>
        <w:br/>
        <w:t xml:space="preserve">It is a two-dimensional board game which is originated from ancient China. Its basis is a “magic powered” quadrangle which is divided into seven shapes: five triangles, a parallelogram and a small quadrangle. Each part of the tangram has a given size if we compare its angles and sides. There are thousands of mathematic problems with the use of the seven geometrical figures of the quadrangle. Its aim is to develop problem solving skill.</w:t>
      </w:r>
      <w:r>
        <w:rPr>
          <w:color w:val="000000"/>
          <w:sz w:val="24"/>
          <w:szCs w:val="24"/>
        </w:rPr>
        <w:br/>
        <w:t xml:space="preserve">Hands-on brainteasers, especially the tangrams are not for children. Of course, some of them can be easily solved by children, but most of them requires a few hours of concentration even for an experienced player.</w:t>
      </w:r>
      <w:r>
        <w:rPr>
          <w:color w:val="000000"/>
          <w:sz w:val="24"/>
          <w:szCs w:val="24"/>
        </w:rPr>
        <w:br/>
        <w:t xml:space="preserve">In my paper I have used the ancient Chinese and the round tangram to design unique furniture. I have prepared a wall shelf with the quadrangle puzzle which can be put on the wall in several ways and I have built a wall shelf and sedentary furniture with the round tangram. I will show my works in detail from the first step to the complete furniture.</w:t>
      </w:r>
    </w:p>
    <w:p>
      <w:pPr>
        <w:pBdr/>
        <w:spacing w:before="240" w:after="240" w:line="240" w:lineRule="auto"/>
        <w:ind w:left="0" w:right="0"/>
        <w:jc w:val="left"/>
      </w:pPr>
      <w:r>
        <w:rPr>
          <w:color w:val="000000"/>
          <w:sz w:val="24"/>
          <w:szCs w:val="24"/>
        </w:rPr>
        <w:t xml:space="preserve">                </w:t>
      </w:r>
      <w:r>
        <w:rPr>
          <w:color w:val="000000"/>
          <w:sz w:val="24"/>
          <w:szCs w:val="24"/>
        </w:rPr>
        <w:drawing>
          <wp:inline distT="0" distB="0" distL="0" distR="0">
            <wp:extent cx="2253600" cy="1684800"/>
            <wp:docPr id="53099666" name="name150ed5e2a90806" descr="imgtmp_12521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2521_int_1.png"/>
                    <pic:cNvPicPr/>
                  </pic:nvPicPr>
                  <pic:blipFill>
                    <a:blip r:embed="rId150ed5e2a907c7" cstate="print"/>
                    <a:stretch>
                      <a:fillRect/>
                    </a:stretch>
                  </pic:blipFill>
                  <pic:spPr>
                    <a:xfrm>
                      <a:off x="0" y="0"/>
                      <a:ext cx="2253600" cy="1684800"/>
                    </a:xfrm>
                    <a:prstGeom prst="rect">
                      <a:avLst/>
                    </a:prstGeom>
                    <a:ln w="0">
                      <a:noFill/>
                    </a:ln>
                  </pic:spPr>
                </pic:pic>
              </a:graphicData>
            </a:graphic>
          </wp:inline>
        </w:drawing>
      </w:r>
      <w:r>
        <w:rPr>
          <w:color w:val="000000"/>
          <w:sz w:val="24"/>
          <w:szCs w:val="24"/>
        </w:rPr>
        <w:drawing>
          <wp:inline distT="0" distB="0" distL="0" distR="0">
            <wp:extent cx="2260800" cy="1692000"/>
            <wp:docPr id="73404970" name="name150ed5e2a94373" descr="imgtmp_12521_int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2521_int_2.png"/>
                    <pic:cNvPicPr/>
                  </pic:nvPicPr>
                  <pic:blipFill>
                    <a:blip r:embed="rId150ed5e2a94334" cstate="print"/>
                    <a:stretch>
                      <a:fillRect/>
                    </a:stretch>
                  </pic:blipFill>
                  <pic:spPr>
                    <a:xfrm>
                      <a:off x="0" y="0"/>
                      <a:ext cx="2260800" cy="16920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375814">
    <w:multiLevelType w:val="hybridMultilevel"/>
    <w:lvl w:ilvl="0" w:tplc="949930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375814">
    <w:abstractNumId w:val="863758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7333613" Type="http://schemas.openxmlformats.org/officeDocument/2006/relationships/numbering" Target="numbering.xml"/><Relationship Id="rId150ed5e2a907c7" Type="http://schemas.openxmlformats.org/officeDocument/2006/relationships/image" Target="media/imgrId150ed5e2a907c7.png"/><Relationship Id="rId150ed5e2a94334" Type="http://schemas.openxmlformats.org/officeDocument/2006/relationships/image" Target="media/imgrId150ed5e2a943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