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MARTINEK</w:t>
            </w:r>
          </w:p>
          <w:p w:rsidR="00C275A3" w:rsidRDefault="00A96AEC" w:rsidP="00C275A3">
            <w:pPr>
              <w:pStyle w:val="Hallgatokepzes"/>
            </w:pPr>
            <w:r>
              <w:t>Wood Science and Technology</w:t>
            </w:r>
            <w:r>
              <w:br/>
            </w:r>
            <w:r w:rsidR="00E77B23">
              <w:t>BSc, 4.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GÁBOR SCHÜLLER</w:t>
            </w:r>
          </w:p>
          <w:p w:rsidR="00DB4822" w:rsidRDefault="00C275A3" w:rsidP="004D7940">
            <w:pPr>
              <w:pStyle w:val="Hallgatokepzes"/>
            </w:pPr>
            <w:r>
              <w:t>Wood Science and Technology</w:t>
            </w:r>
            <w:r w:rsidR="00A96AEC">
              <w:br/>
              <w:t>BSc, 4.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Wood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Kinga Gerencsér Dr.</w:t>
            </w:r>
          </w:p>
          <w:p w:rsidR="00DB4822" w:rsidRDefault="00DB4822" w:rsidP="00E11062">
            <w:pPr>
              <w:pStyle w:val="Konzulensek"/>
            </w:pPr>
            <w:r w:rsidRPr="00DB4822">
              <w:t>Docent,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Wooden Logical Toy planning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wooden logical toy plan was first supported by our consultant docent Kinga Gerencsér who noticed our beautiful and precise work in the summer of 2010 when we participated her wooden toy construction course.</w:t>
      </w:r>
    </w:p>
    <w:p>
      <w:pPr>
        <w:widowControl w:val="on"/>
        <w:pBdr/>
        <w:spacing w:before="240" w:after="240" w:line="240" w:lineRule="auto"/>
        <w:ind w:left="0" w:right="0"/>
        <w:jc w:val="left"/>
      </w:pPr>
      <w:r>
        <w:rPr>
          <w:color w:val="000000"/>
          <w:sz w:val="24"/>
          <w:szCs w:val="24"/>
        </w:rPr>
        <w:t xml:space="preserve">The docent called our attention to the Fourth National Mechanical Puzzle Conference that is organised in every September. Every person can enter the competition with a newly developed logical toy which is out of circulation and related to numbers determined each year.</w:t>
      </w:r>
    </w:p>
    <w:p>
      <w:pPr>
        <w:widowControl w:val="on"/>
        <w:pBdr/>
        <w:spacing w:before="240" w:after="240" w:line="240" w:lineRule="auto"/>
        <w:ind w:left="0" w:right="0"/>
        <w:jc w:val="left"/>
      </w:pPr>
      <w:r>
        <w:rPr>
          <w:color w:val="000000"/>
          <w:sz w:val="24"/>
          <w:szCs w:val="24"/>
        </w:rPr>
        <w:t xml:space="preserve">In 2010 our choice was tetrahedron because the number of the conference was 4. We won second prize, which was a great success and made us glad, especially when we were praised for our precise, expert work and good management. We overcame numerous famous and experienced toymaker.</w:t>
      </w:r>
    </w:p>
    <w:p>
      <w:pPr>
        <w:widowControl w:val="on"/>
        <w:pBdr/>
        <w:spacing w:before="240" w:after="240" w:line="240" w:lineRule="auto"/>
        <w:ind w:left="0" w:right="0"/>
        <w:jc w:val="left"/>
      </w:pPr>
      <w:r>
        <w:rPr>
          <w:color w:val="000000"/>
          <w:sz w:val="24"/>
          <w:szCs w:val="24"/>
        </w:rPr>
        <w:t xml:space="preserve">Then we have decided to enter the Scientific Student Conference.</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2318400" cy="2325600"/>
            <wp:docPr id="1945264" name="name1510a500f33cf2" descr="imgtmp_12522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522_int_1.gif"/>
                    <pic:cNvPicPr/>
                  </pic:nvPicPr>
                  <pic:blipFill>
                    <a:blip r:embed="rId1510a500f33cb4" cstate="print"/>
                    <a:stretch>
                      <a:fillRect/>
                    </a:stretch>
                  </pic:blipFill>
                  <pic:spPr>
                    <a:xfrm>
                      <a:off x="0" y="0"/>
                      <a:ext cx="2318400" cy="2325600"/>
                    </a:xfrm>
                    <a:prstGeom prst="rect">
                      <a:avLst/>
                    </a:prstGeom>
                    <a:ln w="0">
                      <a:noFill/>
                    </a:ln>
                  </pic:spPr>
                </pic:pic>
              </a:graphicData>
            </a:graphic>
          </wp:inline>
        </w:drawing>
      </w:r>
      <w:r>
        <w:rPr>
          <w:color w:val="000000"/>
          <w:sz w:val="24"/>
          <w:szCs w:val="24"/>
        </w:rPr>
        <w:drawing>
          <wp:inline distT="0" distB="0" distL="0" distR="0">
            <wp:extent cx="2203200" cy="2196000"/>
            <wp:docPr id="28989106" name="name1510a500f34011" descr="imgtmp_12522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522_int_2.gif"/>
                    <pic:cNvPicPr/>
                  </pic:nvPicPr>
                  <pic:blipFill>
                    <a:blip r:embed="rId1510a500f33fd5" cstate="print"/>
                    <a:stretch>
                      <a:fillRect/>
                    </a:stretch>
                  </pic:blipFill>
                  <pic:spPr>
                    <a:xfrm>
                      <a:off x="0" y="0"/>
                      <a:ext cx="2203200" cy="219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95237">
    <w:multiLevelType w:val="hybridMultilevel"/>
    <w:lvl w:ilvl="0" w:tplc="43914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95237">
    <w:abstractNumId w:val="22395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051814" Type="http://schemas.openxmlformats.org/officeDocument/2006/relationships/numbering" Target="numbering.xml"/><Relationship Id="rId1510a500f33cb4" Type="http://schemas.openxmlformats.org/officeDocument/2006/relationships/image" Target="media/imgrId1510a500f33cb4.gif"/><Relationship Id="rId1510a500f33fd5" Type="http://schemas.openxmlformats.org/officeDocument/2006/relationships/image" Target="media/imgrId1510a500f33fd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