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PAL</w:t>
            </w:r>
          </w:p>
          <w:p w:rsidR="00C275A3" w:rsidRDefault="00A96AEC" w:rsidP="00C275A3">
            <w:pPr>
              <w:pStyle w:val="Hallgatokepzes"/>
            </w:pPr>
            <w:r>
              <w:t>International Studies</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Sallai Dr.</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Minority politics in Turkey in the mirror of Turkey’s EU accession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papers primary deals with the Turkish minority politics and demonstrates that by the example of the two most controversial minorities. The Kurds appear as ethnic minority and the Greeks as a religious. The proclamation of the republic in Turkey and Atatürk's getting into power meant the end of the Kurdish national movements, since Turkey doesn't acknowledge the existence of ethnic minorities. According the Treaty of Lausanne only the religious minorities are considered as a minority. </w:t>
      </w:r>
    </w:p>
    <w:p>
      <w:pPr>
        <w:pBdr/>
        <w:spacing w:before="240" w:after="240" w:line="240" w:lineRule="auto"/>
        <w:ind w:left="0" w:right="0"/>
        <w:jc w:val="left"/>
      </w:pPr>
      <w:r>
        <w:rPr>
          <w:color w:val="000000"/>
          <w:sz w:val="24"/>
          <w:szCs w:val="24"/>
        </w:rPr>
        <w:t xml:space="preserve">After a short historical background the paper summaries these two miorities' life in Istanbul in the mirror of the Turkish minority politics. The study sets out the reasons why these minorities in Turkey are concentrated in Istanbul and examines the effect of the Turkish minority politics on Turkey's EU accession. </w:t>
      </w:r>
    </w:p>
    <w:p>
      <w:pPr>
        <w:pBdr/>
        <w:spacing w:before="240" w:after="240" w:line="240" w:lineRule="auto"/>
        <w:ind w:left="0" w:right="0"/>
        <w:jc w:val="left"/>
      </w:pPr>
      <w:r>
        <w:rPr>
          <w:color w:val="000000"/>
          <w:sz w:val="24"/>
          <w:szCs w:val="24"/>
        </w:rPr>
        <w:t xml:space="preserve">The final part of the papers presents a questionnaire about Turkey's EU accession process completed by students of International Relations.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51185">
    <w:multiLevelType w:val="hybridMultilevel"/>
    <w:lvl w:ilvl="0" w:tplc="28270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51185">
    <w:abstractNumId w:val="76251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17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