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ILIÁS</w:t>
            </w:r>
          </w:p>
          <w:p w:rsidR="00C275A3" w:rsidRDefault="00A96AEC" w:rsidP="00C275A3">
            <w:pPr>
              <w:pStyle w:val="Hallgatokepzes"/>
            </w:pPr>
            <w:r>
              <w:t>Management and Leadership</w:t>
            </w:r>
            <w:r>
              <w:br/>
            </w:r>
            <w:r w:rsidR="00E77B23">
              <w:t>MA, 1.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Komor Levente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Credit Crisis on Money Attitude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research paints a negative picture of households’ economic self-care capacity. The vast majority of families has insufficient risk-taking behavior, is not informed of the existing financial opportunities and lacks skills that are inevitable in order to develop an effective economic behavior. Meanwhile, financially backed decisions made by the citizens of European Union are indispensable in order to maintain and enhance the competitiveness of the EU.</w:t>
      </w:r>
    </w:p>
    <w:p>
      <w:pPr>
        <w:pBdr/>
        <w:spacing w:before="240" w:after="240" w:line="240" w:lineRule="auto"/>
        <w:ind w:left="0" w:right="0"/>
        <w:jc w:val="left"/>
      </w:pPr>
      <w:r>
        <w:rPr>
          <w:color w:val="000000"/>
          <w:sz w:val="24"/>
          <w:szCs w:val="24"/>
        </w:rPr>
        <w:t xml:space="preserve">In addition to the economic and legal obligations, our financial attitudes are also determined by the social environment whereas, in general, it is not clear how these components interact and how they are related to our real financial behavior. The attitude towards money does not only manifest in our spending habits, but also in our work performance, political affiliation, and even in our relationships. The economic crisis clearly showed that development of a new way of residential financial habits was necessary. The necessity of this paradigm shift is confirmed by the increasing number of projects which aim to improve our financial habits and enhance our knowledge, as well as the growing number of news transmitted and researches carried out in this field.</w:t>
      </w:r>
    </w:p>
    <w:p>
      <w:pPr>
        <w:pBdr/>
        <w:spacing w:before="240" w:after="240" w:line="240" w:lineRule="auto"/>
        <w:ind w:left="0" w:right="0"/>
        <w:jc w:val="left"/>
      </w:pPr>
      <w:r>
        <w:rPr>
          <w:color w:val="000000"/>
          <w:sz w:val="24"/>
          <w:szCs w:val="24"/>
        </w:rPr>
        <w:t xml:space="preserve">The survey conducted in the autumn of 2011, contains a non-representative sample of the adult Hungarian population. The results suggest a significant relation between household indebtment, the attitude towards money and the external-internal control. As a conclusion, financial attitudes of debtors can be characterized by the low value of "Retention, time" factor, meaning that their finances are less planned beforehand and that they are careless spenders. Externally controlled behavior is also typical for this group, i.e. according to them their poor financial situation is rather caused by fate, misfortune or the wrong economic policy acts, than their own decisions.</w:t>
      </w:r>
    </w:p>
    <w:p>
      <w:pPr>
        <w:pBdr/>
        <w:spacing w:before="240" w:after="240" w:line="240" w:lineRule="auto"/>
        <w:ind w:left="0" w:right="0"/>
        <w:jc w:val="left"/>
      </w:pPr>
      <w:r>
        <w:rPr>
          <w:color w:val="000000"/>
          <w:sz w:val="24"/>
          <w:szCs w:val="24"/>
        </w:rPr>
        <w:t xml:space="preserve">On the other hand, these results are also analyzed in the light of the path-dependence model: based on the financial attitude and the behavior control type I drew up ways of individual path dependences. The closure of the paper contains my advices on changing these paths.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05436">
    <w:multiLevelType w:val="hybridMultilevel"/>
    <w:lvl w:ilvl="0" w:tplc="57584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05436">
    <w:abstractNumId w:val="63205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075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