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MENYHERT SZELEI</w:t>
            </w:r>
          </w:p>
          <w:p w:rsidR="00C275A3" w:rsidRDefault="00A96AEC" w:rsidP="00C275A3">
            <w:pPr>
              <w:pStyle w:val="Hallgatokepzes"/>
            </w:pPr>
            <w:r>
              <w:t>International Relations MA</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Talas</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Thoughts on the Geopolitical Situation of Ukraine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dissolution of the Soviet Union, the new states had similar challenges in many aspects - among others - all of them had to find some kind of answer on how to settle the relationship with Russia – regarded as the hereditary of the Soviet Empire. The geopolitical reality, dependences and ambitions of Russian policy have not enabled these countries to make their policies neglecting the big neighbor’s interests in the last 20 years. However we can note a remarkable difference between the 1990's and the decade after the millenium.</w:t>
      </w:r>
      <w:r>
        <w:rPr>
          <w:color w:val="000000"/>
          <w:sz w:val="24"/>
          <w:szCs w:val="24"/>
        </w:rPr>
        <w:br/>
        <w:t xml:space="preserve">At the same time the differences are not only temporal because there are differing conditions of each country amongst which the most important factor is the importance attributed to Russia on the eurasian chessboard. My basic statement is that in the „near-abroad” area Ukraine has the most significant role and – refering to Brzezinski’s category - is a „pillar” state which can drastically induce the behavior of Russia. The last presidential elections in Ukraine – classified as a semi-presidential political system - can be a proof the significant role which is attributed to the country. The elections in especially in 2004 as well as in 2010 have confirmed that filling ine of the Ukraine’s most important political positions is not just a domestic or regional issue but one that draws the attention of the most important players of global politics. The purpose of my work is to present most significant geopolitical changes – often of opposite trajectory - of two decades since the independence, review the probable reasons and to analyse the decisibe circumstances in a wider context. In addition I also attempt to give an answer to the question concerning viable options and alternatives the country has.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3561">
    <w:multiLevelType w:val="hybridMultilevel"/>
    <w:lvl w:ilvl="0" w:tplc="56108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3561">
    <w:abstractNumId w:val="42873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863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