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ISTVÁN SOMOGYI</w:t>
            </w:r>
          </w:p>
          <w:p w:rsidR="00C275A3" w:rsidRDefault="00A96AEC" w:rsidP="00C275A3">
            <w:pPr>
              <w:pStyle w:val="Hallgatokepzes"/>
            </w:pPr>
            <w:r>
              <w:t>Agribusiness and Rural Development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Kovács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 Memory and Stacionarity of Medium-risk Investment Fund Assets and Prices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investigate the long memory property of medium-risk investment fund assets and prices including money market, long-term bond and real estate funds in the analysed period. Taking the results of my study into cinsideration, the investors can gain such an additional infomation that could establish creating a finacial portfolio. For my analysis I chose only one fund from each fund type (money market, long-term bond, real estate) of the five leading banks regarding their net asset values, data were downloaded from the Web site of the BAMOSZ (Association of Hungarian Investment Fund Managers) between 2005-01-20 and 2011-06-27. Downloaded data were first analysed by using line charts then both the prices and assets of all funds have been analysed regarding normality, stacionarity and the correlograms of these time series were also studied. Among the long memory analysing methods I chose the Rescaled Range (R/S) method for estimating the Hurst exponents. The gained results showed that asset changes have the long memory property considering all type of funds. Taking the price changes into consideration, it can also be stated that apart form one or two exceptions the long memory property can be provable. The knowledge about the funds’ long or short memory property can provide such an information to the investors which could facilitate the establishment of the investment strategy and could improve the find of the entry point.</w:t>
      </w:r>
    </w:p>
    <w:p>
      <w:pPr>
        <w:pBdr/>
        <w:spacing w:before="240" w:after="240" w:line="240" w:lineRule="auto"/>
        <w:ind w:left="0" w:right="0"/>
        <w:jc w:val="left"/>
      </w:pPr>
      <w:r>
        <w:rPr>
          <w:color w:val="000000"/>
          <w:sz w:val="24"/>
          <w:szCs w:val="24"/>
        </w:rPr>
        <w:t xml:space="preserve">Keywords: investment funds, asset change, price change, long memory, Rescaled Range method, Hurst exponens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65528">
    <w:multiLevelType w:val="hybridMultilevel"/>
    <w:lvl w:ilvl="0" w:tplc="24020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65528">
    <w:abstractNumId w:val="94565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109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