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KESZLER</w:t>
            </w:r>
          </w:p>
          <w:p w:rsidR="00C275A3" w:rsidRDefault="00A96AEC" w:rsidP="00C275A3">
            <w:pPr>
              <w:pStyle w:val="Hallgatokepzes"/>
            </w:pPr>
            <w:r>
              <w:t>Human resources counsellor</w:t>
            </w:r>
            <w:r>
              <w:br/>
            </w:r>
            <w:r w:rsidR="00E77B23">
              <w:t>MA, 3. semester</w:t>
            </w:r>
          </w:p>
          <w:p w:rsidR="00C265CE" w:rsidRPr="009E5FF1" w:rsidRDefault="00E77B23" w:rsidP="00C275A3">
            <w:pPr>
              <w:pStyle w:val="Hallgatokepzes"/>
              <w:rPr>
                <w:b/>
                <w:caps/>
              </w:rPr>
            </w:pPr>
            <w:r>
              <w:t>University of Debrecen</w:t>
            </w:r>
            <w:r w:rsidR="00C275A3">
              <w:br/>
            </w:r>
            <w:r w:rsidR="00DB4822">
              <w:t>Faculty of Applied Economics and Rural Development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Marianna Móré Ph.D.</w:t>
            </w:r>
          </w:p>
          <w:p w:rsidR="00DB4822" w:rsidRDefault="00DB4822" w:rsidP="00E11062">
            <w:pPr>
              <w:pStyle w:val="Konzulensek"/>
            </w:pPr>
            <w:r w:rsidRPr="00DB4822">
              <w:t>associate professor, DE GYFK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specialties of human resource selection process in parochial financed educational institutions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2011 the number of the parochial financed educational institutions is still growing, there are 187 in Hungary at the moment. In this thesis my most important aim is to describe the specialties of the human resources selection process in the parochial financed educational institutions.</w:t>
      </w:r>
    </w:p>
    <w:p>
      <w:pPr>
        <w:pBdr/>
        <w:spacing w:before="240" w:after="240" w:line="240" w:lineRule="auto"/>
        <w:ind w:left="0" w:right="0"/>
        <w:jc w:val="left"/>
      </w:pPr>
      <w:r>
        <w:rPr>
          <w:color w:val="000000"/>
          <w:sz w:val="24"/>
          <w:szCs w:val="24"/>
        </w:rPr>
        <w:t xml:space="preserve">This project is not in search today, but the number of the parochial financed schools is growing and it means that we have to care about them. It’s important to know correctly the changes of the number of this type of educational institutions, that’s why I analyzed the statistic data. To make my own results, my research method was the interview, so I got relevant information about the investigated institutions from a leader, who is also the member of the human resources team of the catholic educational institutions in the eastern region.</w:t>
      </w:r>
    </w:p>
    <w:p>
      <w:pPr>
        <w:pBdr/>
        <w:spacing w:before="240" w:after="240" w:line="240" w:lineRule="auto"/>
        <w:ind w:left="0" w:right="0"/>
        <w:jc w:val="left"/>
      </w:pPr>
      <w:r>
        <w:rPr>
          <w:color w:val="000000"/>
          <w:sz w:val="24"/>
          <w:szCs w:val="24"/>
        </w:rPr>
        <w:t xml:space="preserve">First you can read information about human resources management and the general method of the selection process. It is a very important part of the thesis, because we have to compare the management and the human resources philosophy in the public schools and in the catholic schools.</w:t>
      </w:r>
    </w:p>
    <w:p>
      <w:pPr>
        <w:pBdr/>
        <w:spacing w:before="240" w:after="240" w:line="240" w:lineRule="auto"/>
        <w:ind w:left="0" w:right="0"/>
        <w:jc w:val="left"/>
      </w:pPr>
      <w:r>
        <w:rPr>
          <w:color w:val="000000"/>
          <w:sz w:val="24"/>
          <w:szCs w:val="24"/>
        </w:rPr>
        <w:t xml:space="preserve">After this part you can read about an institution, which is a good example to get relevant information about the selection process, and in this chapter you can also read about my experiences, and the rules of the process in this type of educational institutions.</w:t>
      </w:r>
    </w:p>
    <w:p>
      <w:pPr>
        <w:pBdr/>
        <w:spacing w:before="240" w:after="240" w:line="240" w:lineRule="auto"/>
        <w:ind w:left="0" w:right="0"/>
        <w:jc w:val="left"/>
      </w:pPr>
      <w:r>
        <w:rPr>
          <w:color w:val="000000"/>
          <w:sz w:val="24"/>
          <w:szCs w:val="24"/>
        </w:rPr>
        <w:t xml:space="preserve">And after all of these parts, at the end you can read my thoughts, proposals and conclusion about this project.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631013">
    <w:multiLevelType w:val="hybridMultilevel"/>
    <w:lvl w:ilvl="0" w:tplc="401148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631013">
    <w:abstractNumId w:val="196310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84142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