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ANDRAS BACSO</w:t>
            </w:r>
          </w:p>
          <w:p w:rsidR="00C275A3" w:rsidRDefault="00A96AEC" w:rsidP="00C275A3">
            <w:pPr>
              <w:pStyle w:val="Hallgatokepzes"/>
            </w:pPr>
            <w:r>
              <w:t>Chemistry BSc</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Maria, Kazinczyne Dr. Vas</w:t>
            </w:r>
          </w:p>
          <w:p w:rsidR="00DB4822" w:rsidRDefault="00DB4822" w:rsidP="00E11062">
            <w:pPr>
              <w:pStyle w:val="Konzulensek"/>
            </w:pPr>
            <w:r w:rsidRPr="00DB4822">
              <w:t>scientific advisor,  Hungarian Academy of Sciences Research Center of Sciences Institute of Enzimology</w:t>
            </w:r>
          </w:p>
        </w:tc>
      </w:tr>
      <w:tr w:rsidR="00DB4822" w:rsidTr="00DB4822">
        <w:tc>
          <w:tcPr>
            <w:tcW w:w="9854" w:type="dxa"/>
          </w:tcPr>
          <w:p w:rsidR="00DB4822" w:rsidRPr="00DB4822" w:rsidRDefault="00DB4822" w:rsidP="004D7940">
            <w:pPr>
              <w:pStyle w:val="Konzulensek"/>
            </w:pPr>
            <w:r w:rsidRPr="00DB4822">
              <w:t>Eva Laura Graczer</w:t>
            </w:r>
          </w:p>
          <w:p w:rsidR="00DB4822" w:rsidRDefault="00DB4822" w:rsidP="00E11062">
            <w:pPr>
              <w:pStyle w:val="Konzulensek"/>
            </w:pPr>
            <w:r w:rsidRPr="00DB4822">
              <w:t>research fellow,  Hungarian Academy of Sciences Research Center of Sciences Institute of Enzimology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First steps on the characterization of Mycobacterium tuberculosis IPMDH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3-Isopropylmalate dehydrogenase (IPMDH), is an essential enzyme in the leucine biosynthesis pathway of bacteria and plants, may provide a potential target for inhibition by specific new drugs against the pathogen bacterium of </w:t>
      </w:r>
      <w:r>
        <w:rPr>
          <w:i/>
          <w:color w:val="000000"/>
          <w:sz w:val="24"/>
          <w:szCs w:val="24"/>
        </w:rPr>
        <w:t xml:space="preserve">Mycobacterium tuberculosis </w:t>
      </w:r>
      <w:r>
        <w:rPr>
          <w:color w:val="000000"/>
          <w:sz w:val="24"/>
          <w:szCs w:val="24"/>
        </w:rPr>
        <w:t xml:space="preserve">(</w:t>
      </w:r>
      <w:r>
        <w:rPr>
          <w:i/>
          <w:color w:val="000000"/>
          <w:sz w:val="24"/>
          <w:szCs w:val="24"/>
        </w:rPr>
        <w:t xml:space="preserve">Myc</w:t>
      </w:r>
      <w:r>
        <w:rPr>
          <w:color w:val="000000"/>
          <w:sz w:val="24"/>
          <w:szCs w:val="24"/>
        </w:rPr>
        <w:t xml:space="preserve">). In order to achieve this purpose my work was focused on characterization of the basic structural and functional properties this enzyme and on comparison to the other known IPMDHs. The main results are the followings:</w:t>
      </w:r>
    </w:p>
    <w:p>
      <w:pPr>
        <w:widowControl w:val="on"/>
        <w:pBdr/>
        <w:spacing w:before="240" w:after="240" w:line="240" w:lineRule="auto"/>
        <w:ind w:left="0" w:right="0"/>
        <w:jc w:val="left"/>
      </w:pPr>
      <w:r>
        <w:rPr>
          <w:color w:val="000000"/>
          <w:sz w:val="24"/>
          <w:szCs w:val="24"/>
        </w:rPr>
        <w:t xml:space="preserve">1.) The expression of the active </w:t>
      </w:r>
      <w:r>
        <w:rPr>
          <w:i/>
          <w:color w:val="000000"/>
          <w:sz w:val="24"/>
          <w:szCs w:val="24"/>
        </w:rPr>
        <w:t xml:space="preserve">Myc </w:t>
      </w:r>
      <w:r>
        <w:rPr>
          <w:color w:val="000000"/>
          <w:sz w:val="24"/>
          <w:szCs w:val="24"/>
        </w:rPr>
        <w:t xml:space="preserve">IPMDH in its homogeneous form (a yield of 18 mg) is achieved by application of a special fermentation procedure upon transformation of its gene into the host cells of </w:t>
      </w:r>
      <w:r>
        <w:rPr>
          <w:i/>
          <w:color w:val="000000"/>
          <w:sz w:val="24"/>
          <w:szCs w:val="24"/>
        </w:rPr>
        <w:t xml:space="preserve">E. coli</w:t>
      </w:r>
      <w:r>
        <w:rPr>
          <w:color w:val="000000"/>
          <w:sz w:val="24"/>
          <w:szCs w:val="24"/>
        </w:rPr>
        <w:t xml:space="preserve"> bacterium.</w:t>
      </w:r>
    </w:p>
    <w:p>
      <w:pPr>
        <w:widowControl w:val="on"/>
        <w:pBdr/>
        <w:spacing w:before="240" w:after="240" w:line="240" w:lineRule="auto"/>
        <w:ind w:left="0" w:right="0"/>
        <w:jc w:val="left"/>
      </w:pPr>
      <w:r>
        <w:rPr>
          <w:color w:val="000000"/>
          <w:sz w:val="24"/>
          <w:szCs w:val="24"/>
        </w:rPr>
        <w:t xml:space="preserve">2.) The physico-chemical properties of the soluble protein were characterized by native gelelectrophoresis, CD-, UV- and fluorescence emission spectroscopic methods. The quaternary (dimeric) and secondary structure of the </w:t>
      </w:r>
      <w:r>
        <w:rPr>
          <w:i/>
          <w:color w:val="000000"/>
          <w:sz w:val="24"/>
          <w:szCs w:val="24"/>
        </w:rPr>
        <w:t xml:space="preserve">Myc </w:t>
      </w:r>
      <w:r>
        <w:rPr>
          <w:color w:val="000000"/>
          <w:sz w:val="24"/>
          <w:szCs w:val="24"/>
        </w:rPr>
        <w:t xml:space="preserve">IPMDH is found to be highly similar to those of either </w:t>
      </w:r>
      <w:r>
        <w:rPr>
          <w:i/>
          <w:color w:val="000000"/>
          <w:sz w:val="24"/>
          <w:szCs w:val="24"/>
        </w:rPr>
        <w:t xml:space="preserve">Escherichia coli</w:t>
      </w:r>
      <w:r>
        <w:rPr>
          <w:color w:val="000000"/>
          <w:sz w:val="24"/>
          <w:szCs w:val="24"/>
        </w:rPr>
        <w:t xml:space="preserve"> (</w:t>
      </w:r>
      <w:r>
        <w:rPr>
          <w:i/>
          <w:color w:val="000000"/>
          <w:sz w:val="24"/>
          <w:szCs w:val="24"/>
        </w:rPr>
        <w:t xml:space="preserve">Ec</w:t>
      </w:r>
      <w:r>
        <w:rPr>
          <w:color w:val="000000"/>
          <w:sz w:val="24"/>
          <w:szCs w:val="24"/>
        </w:rPr>
        <w:t xml:space="preserve">) or </w:t>
      </w:r>
      <w:r>
        <w:rPr>
          <w:i/>
          <w:color w:val="000000"/>
          <w:sz w:val="24"/>
          <w:szCs w:val="24"/>
        </w:rPr>
        <w:t xml:space="preserve">Thermus thermophilus</w:t>
      </w:r>
      <w:r>
        <w:rPr>
          <w:color w:val="000000"/>
          <w:sz w:val="24"/>
          <w:szCs w:val="24"/>
        </w:rPr>
        <w:t xml:space="preserve"> (</w:t>
      </w:r>
      <w:r>
        <w:rPr>
          <w:i/>
          <w:color w:val="000000"/>
          <w:sz w:val="24"/>
          <w:szCs w:val="24"/>
        </w:rPr>
        <w:t xml:space="preserve">Tt</w:t>
      </w:r>
      <w:r>
        <w:rPr>
          <w:color w:val="000000"/>
          <w:sz w:val="24"/>
          <w:szCs w:val="24"/>
        </w:rPr>
        <w:t xml:space="preserve">) IPMDHs. In contrast to other IPMDHs, it is isolated with bound nucleotide, about 0,2 moles NAD</w:t>
      </w:r>
      <w:r>
        <w:rPr>
          <w:color w:val="000000"/>
          <w:position w:val="4"/>
          <w:sz w:val="21"/>
          <w:szCs w:val="21"/>
          <w:vertAlign w:val="superscript"/>
        </w:rPr>
        <w:t xml:space="preserve">+</w:t>
      </w:r>
      <w:r>
        <w:rPr>
          <w:color w:val="000000"/>
          <w:sz w:val="24"/>
          <w:szCs w:val="24"/>
        </w:rPr>
        <w:t xml:space="preserve">/moles subunit.</w:t>
      </w:r>
    </w:p>
    <w:p>
      <w:pPr>
        <w:widowControl w:val="on"/>
        <w:pBdr/>
        <w:spacing w:before="240" w:after="240" w:line="240" w:lineRule="auto"/>
        <w:ind w:left="0" w:right="0"/>
        <w:jc w:val="left"/>
      </w:pPr>
      <w:r>
        <w:rPr>
          <w:color w:val="000000"/>
          <w:sz w:val="24"/>
          <w:szCs w:val="24"/>
        </w:rPr>
        <w:t xml:space="preserve">3.) The kinetic parameters (</w:t>
      </w:r>
      <w:r>
        <w:rPr>
          <w:i/>
          <w:color w:val="000000"/>
          <w:sz w:val="24"/>
          <w:szCs w:val="24"/>
        </w:rPr>
        <w:t xml:space="preserve">K</w:t>
      </w:r>
      <w:r>
        <w:rPr>
          <w:color w:val="000000"/>
          <w:position w:val="-4"/>
          <w:sz w:val="21"/>
          <w:szCs w:val="21"/>
          <w:vertAlign w:val="subscript"/>
        </w:rPr>
        <w:t xml:space="preserve">m</w:t>
      </w:r>
      <w:r>
        <w:rPr>
          <w:color w:val="000000"/>
          <w:sz w:val="24"/>
          <w:szCs w:val="24"/>
        </w:rPr>
        <w:t xml:space="preserve">, </w:t>
      </w:r>
      <w:r>
        <w:rPr>
          <w:i/>
          <w:color w:val="000000"/>
          <w:sz w:val="24"/>
          <w:szCs w:val="24"/>
        </w:rPr>
        <w:t xml:space="preserve">V</w:t>
      </w:r>
      <w:r>
        <w:rPr>
          <w:color w:val="000000"/>
          <w:position w:val="-4"/>
          <w:sz w:val="21"/>
          <w:szCs w:val="21"/>
          <w:vertAlign w:val="subscript"/>
        </w:rPr>
        <w:t xml:space="preserve">max</w:t>
      </w:r>
      <w:r>
        <w:rPr>
          <w:color w:val="000000"/>
          <w:sz w:val="24"/>
          <w:szCs w:val="24"/>
        </w:rPr>
        <w:t xml:space="preserve">,</w:t>
      </w:r>
      <w:r>
        <w:rPr>
          <w:i/>
          <w:color w:val="000000"/>
          <w:sz w:val="24"/>
          <w:szCs w:val="24"/>
        </w:rPr>
        <w:t xml:space="preserve"> k</w:t>
      </w:r>
      <w:r>
        <w:rPr>
          <w:color w:val="000000"/>
          <w:position w:val="-4"/>
          <w:sz w:val="21"/>
          <w:szCs w:val="21"/>
          <w:vertAlign w:val="subscript"/>
        </w:rPr>
        <w:t xml:space="preserve">cat</w:t>
      </w:r>
      <w:r>
        <w:rPr>
          <w:color w:val="000000"/>
          <w:sz w:val="24"/>
          <w:szCs w:val="24"/>
        </w:rPr>
        <w:t xml:space="preserve">), and the binding constant (</w:t>
      </w:r>
      <w:r>
        <w:rPr>
          <w:i/>
          <w:color w:val="000000"/>
          <w:sz w:val="24"/>
          <w:szCs w:val="24"/>
        </w:rPr>
        <w:t xml:space="preserve">K</w:t>
      </w:r>
      <w:r>
        <w:rPr>
          <w:color w:val="000000"/>
          <w:position w:val="-4"/>
          <w:sz w:val="21"/>
          <w:szCs w:val="21"/>
          <w:vertAlign w:val="subscript"/>
        </w:rPr>
        <w:t xml:space="preserve">d</w:t>
      </w:r>
      <w:r>
        <w:rPr>
          <w:color w:val="000000"/>
          <w:sz w:val="24"/>
          <w:szCs w:val="24"/>
        </w:rPr>
        <w:t xml:space="preserve">) of the substrate IPM have been determined. </w:t>
      </w:r>
      <w:r>
        <w:rPr>
          <w:i/>
          <w:color w:val="000000"/>
          <w:sz w:val="24"/>
          <w:szCs w:val="24"/>
        </w:rPr>
        <w:t xml:space="preserve">Myc </w:t>
      </w:r>
      <w:r>
        <w:rPr>
          <w:color w:val="000000"/>
          <w:sz w:val="24"/>
          <w:szCs w:val="24"/>
        </w:rPr>
        <w:t xml:space="preserve">IPMDH exhibits the lowest catalytic activity (</w:t>
      </w:r>
      <w:r>
        <w:rPr>
          <w:i/>
          <w:color w:val="000000"/>
          <w:sz w:val="24"/>
          <w:szCs w:val="24"/>
        </w:rPr>
        <w:t xml:space="preserve">k</w:t>
      </w:r>
      <w:r>
        <w:rPr>
          <w:color w:val="000000"/>
          <w:position w:val="-4"/>
          <w:sz w:val="21"/>
          <w:szCs w:val="21"/>
          <w:vertAlign w:val="subscript"/>
        </w:rPr>
        <w:t xml:space="preserve">cat</w:t>
      </w:r>
      <w:r>
        <w:rPr>
          <w:color w:val="000000"/>
          <w:sz w:val="24"/>
          <w:szCs w:val="24"/>
        </w:rPr>
        <w:t xml:space="preserve">) compared to those of </w:t>
      </w:r>
      <w:r>
        <w:rPr>
          <w:i/>
          <w:color w:val="000000"/>
          <w:sz w:val="24"/>
          <w:szCs w:val="24"/>
        </w:rPr>
        <w:t xml:space="preserve">Ec </w:t>
      </w:r>
      <w:r>
        <w:rPr>
          <w:color w:val="000000"/>
          <w:sz w:val="24"/>
          <w:szCs w:val="24"/>
        </w:rPr>
        <w:t xml:space="preserve">and </w:t>
      </w:r>
      <w:r>
        <w:rPr>
          <w:i/>
          <w:color w:val="000000"/>
          <w:sz w:val="24"/>
          <w:szCs w:val="24"/>
        </w:rPr>
        <w:t xml:space="preserve">Tt </w:t>
      </w:r>
      <w:r>
        <w:rPr>
          <w:color w:val="000000"/>
          <w:sz w:val="24"/>
          <w:szCs w:val="24"/>
        </w:rPr>
        <w:t xml:space="preserve">IPMDH. On the other hand, the </w:t>
      </w:r>
      <w:r>
        <w:rPr>
          <w:i/>
          <w:color w:val="000000"/>
          <w:sz w:val="24"/>
          <w:szCs w:val="24"/>
        </w:rPr>
        <w:t xml:space="preserve">K</w:t>
      </w:r>
      <w:r>
        <w:rPr>
          <w:color w:val="000000"/>
          <w:position w:val="-4"/>
          <w:sz w:val="21"/>
          <w:szCs w:val="21"/>
          <w:vertAlign w:val="subscript"/>
        </w:rPr>
        <w:t xml:space="preserve">m</w:t>
      </w:r>
      <w:r>
        <w:rPr>
          <w:color w:val="000000"/>
          <w:sz w:val="24"/>
          <w:szCs w:val="24"/>
        </w:rPr>
        <w:t xml:space="preserve"> values of all the substrates (IPM, NAD</w:t>
      </w:r>
      <w:r>
        <w:rPr>
          <w:color w:val="000000"/>
          <w:position w:val="4"/>
          <w:sz w:val="21"/>
          <w:szCs w:val="21"/>
          <w:vertAlign w:val="superscript"/>
        </w:rPr>
        <w:t xml:space="preserve">+</w:t>
      </w:r>
      <w:r>
        <w:rPr>
          <w:color w:val="000000"/>
          <w:sz w:val="24"/>
          <w:szCs w:val="24"/>
        </w:rPr>
        <w:t xml:space="preserve"> and Mn</w:t>
      </w:r>
      <w:r>
        <w:rPr>
          <w:color w:val="000000"/>
          <w:position w:val="4"/>
          <w:sz w:val="21"/>
          <w:szCs w:val="21"/>
          <w:vertAlign w:val="superscript"/>
        </w:rPr>
        <w:t xml:space="preserve">2+</w:t>
      </w:r>
      <w:r>
        <w:rPr>
          <w:color w:val="000000"/>
          <w:sz w:val="24"/>
          <w:szCs w:val="24"/>
        </w:rPr>
        <w:t xml:space="preserve">) for </w:t>
      </w:r>
      <w:r>
        <w:rPr>
          <w:i/>
          <w:color w:val="000000"/>
          <w:sz w:val="24"/>
          <w:szCs w:val="24"/>
        </w:rPr>
        <w:t xml:space="preserve">Myc </w:t>
      </w:r>
      <w:r>
        <w:rPr>
          <w:color w:val="000000"/>
          <w:sz w:val="24"/>
          <w:szCs w:val="24"/>
        </w:rPr>
        <w:t xml:space="preserve">enzyme are smaller than the respective values for </w:t>
      </w:r>
      <w:r>
        <w:rPr>
          <w:i/>
          <w:color w:val="000000"/>
          <w:sz w:val="24"/>
          <w:szCs w:val="24"/>
        </w:rPr>
        <w:t xml:space="preserve">Ec </w:t>
      </w:r>
      <w:r>
        <w:rPr>
          <w:color w:val="000000"/>
          <w:sz w:val="24"/>
          <w:szCs w:val="24"/>
        </w:rPr>
        <w:t xml:space="preserve">and </w:t>
      </w:r>
      <w:r>
        <w:rPr>
          <w:i/>
          <w:color w:val="000000"/>
          <w:sz w:val="24"/>
          <w:szCs w:val="24"/>
        </w:rPr>
        <w:t xml:space="preserve">Tt </w:t>
      </w:r>
      <w:r>
        <w:rPr>
          <w:color w:val="000000"/>
          <w:sz w:val="24"/>
          <w:szCs w:val="24"/>
        </w:rPr>
        <w:t xml:space="preserve">IPMDH. Thus, the catalytic efficiency is similar for the three IPMDHs. The activity-pH dependence can be attributed to the dissociation of an ionizable group with pK=7.4, similar to </w:t>
      </w:r>
      <w:r>
        <w:rPr>
          <w:i/>
          <w:color w:val="000000"/>
          <w:sz w:val="24"/>
          <w:szCs w:val="24"/>
        </w:rPr>
        <w:t xml:space="preserve">Tt </w:t>
      </w:r>
      <w:r>
        <w:rPr>
          <w:color w:val="000000"/>
          <w:sz w:val="24"/>
          <w:szCs w:val="24"/>
        </w:rPr>
        <w:t xml:space="preserve">enzyme.</w:t>
      </w:r>
    </w:p>
    <w:p>
      <w:pPr>
        <w:widowControl w:val="on"/>
        <w:pBdr/>
        <w:spacing w:before="240" w:after="240" w:line="240" w:lineRule="auto"/>
        <w:ind w:left="0" w:right="0"/>
        <w:jc w:val="left"/>
      </w:pPr>
      <w:r>
        <w:rPr>
          <w:color w:val="000000"/>
          <w:sz w:val="24"/>
          <w:szCs w:val="24"/>
        </w:rPr>
        <w:t xml:space="preserve">4.) The stability of </w:t>
      </w:r>
      <w:r>
        <w:rPr>
          <w:i/>
          <w:color w:val="000000"/>
          <w:sz w:val="24"/>
          <w:szCs w:val="24"/>
        </w:rPr>
        <w:t xml:space="preserve">Myc </w:t>
      </w:r>
      <w:r>
        <w:rPr>
          <w:color w:val="000000"/>
          <w:sz w:val="24"/>
          <w:szCs w:val="24"/>
        </w:rPr>
        <w:t xml:space="preserve">IPMDH (as characterized by the rate constant of its denaturation in 8M urea) resembles to that of the mesophilic counterpart </w:t>
      </w:r>
      <w:r>
        <w:rPr>
          <w:i/>
          <w:color w:val="000000"/>
          <w:sz w:val="24"/>
          <w:szCs w:val="24"/>
        </w:rPr>
        <w:t xml:space="preserve">Ec </w:t>
      </w:r>
      <w:r>
        <w:rPr>
          <w:color w:val="000000"/>
          <w:sz w:val="24"/>
          <w:szCs w:val="24"/>
        </w:rPr>
        <w:t xml:space="preserve">IPMDH. The protecting effect of IPM was also observed. However, in contrast to other IPMDHs it can be only partially renaturated (up to 10 % of the native activity).</w:t>
      </w:r>
    </w:p>
    <w:p>
      <w:pPr>
        <w:widowControl w:val="on"/>
        <w:pBdr/>
        <w:spacing w:before="240" w:after="240" w:line="240" w:lineRule="auto"/>
        <w:ind w:left="0" w:right="0"/>
        <w:jc w:val="left"/>
      </w:pPr>
      <w:r>
        <w:rPr>
          <w:color w:val="000000"/>
          <w:sz w:val="24"/>
          <w:szCs w:val="24"/>
        </w:rPr>
        <w:t xml:space="preserve">5.) Comparison of the amino acid sequences as well as the three-dimensional structures of various IPMDH’s has led to the conclusion that the architecture of the catalytic machineries of all IPMDHs including </w:t>
      </w:r>
      <w:r>
        <w:rPr>
          <w:i/>
          <w:color w:val="000000"/>
          <w:sz w:val="24"/>
          <w:szCs w:val="24"/>
        </w:rPr>
        <w:t xml:space="preserve">Myc </w:t>
      </w:r>
      <w:r>
        <w:rPr>
          <w:color w:val="000000"/>
          <w:sz w:val="24"/>
          <w:szCs w:val="24"/>
        </w:rPr>
        <w:t xml:space="preserve">enzyme are very similar to each other.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080955">
    <w:multiLevelType w:val="hybridMultilevel"/>
    <w:lvl w:ilvl="0" w:tplc="226657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080955">
    <w:abstractNumId w:val="340809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41355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