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THOMAS NAGY</w:t>
            </w:r>
          </w:p>
          <w:p w:rsidR="00C275A3" w:rsidRDefault="00A96AEC" w:rsidP="00C275A3">
            <w:pPr>
              <w:pStyle w:val="Hallgatokepzes"/>
            </w:pPr>
            <w:r>
              <w:t>MSc in Computer Science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JUDIT SEBŐK</w:t>
            </w:r>
          </w:p>
          <w:p w:rsidR="00DB4822" w:rsidRDefault="00C275A3" w:rsidP="004D7940">
            <w:pPr>
              <w:pStyle w:val="Hallgatokepzes"/>
            </w:pPr>
            <w:r>
              <w:t>MSc in Computer Science</w:t>
            </w:r>
            <w:r w:rsidR="00A96AEC">
              <w:br/>
              <w:t>Unified, 19.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Informatics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Lörincz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researcher,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A. Jeni</w:t>
            </w:r>
          </w:p>
          <w:p w:rsidR="00DB4822" w:rsidRDefault="00DB4822" w:rsidP="00E11062">
            <w:pPr>
              <w:pStyle w:val="Konzulensek"/>
            </w:pPr>
            <w:r w:rsidRPr="00DB4822">
              <w:t>Postdoctoral Fellow,  Robotics Institute
Carnegie Mellon University 
5000 Forbes Avenue 
Pittsburgh, PA 15213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Constrained Local Model and its use in Facial Expression Recognition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Person independent and pose invariant facial emotion classification is important for</w:t>
      </w:r>
      <w:r>
        <w:rPr>
          <w:color w:val="000000"/>
          <w:sz w:val="24"/>
          <w:szCs w:val="24"/>
        </w:rPr>
        <w:br/>
        <w:t xml:space="preserve">situation analysis and for automated video annotation. We started from the raw</w:t>
      </w:r>
      <w:r>
        <w:rPr>
          <w:color w:val="000000"/>
          <w:sz w:val="24"/>
          <w:szCs w:val="24"/>
        </w:rPr>
        <w:br/>
        <w:t xml:space="preserve">2D shape data of the CK+ database and used a simple Procrustes transformation</w:t>
      </w:r>
      <w:r>
        <w:rPr>
          <w:color w:val="000000"/>
          <w:sz w:val="24"/>
          <w:szCs w:val="24"/>
        </w:rPr>
        <w:br/>
        <w:t xml:space="preserve">and the multi-class SVM leave-one-out method for classification. We found close to</w:t>
      </w:r>
      <w:r>
        <w:rPr>
          <w:color w:val="000000"/>
          <w:sz w:val="24"/>
          <w:szCs w:val="24"/>
        </w:rPr>
        <w:br/>
        <w:t xml:space="preserve">100% performance demonstrating the relevance of details in shape space. Precise 3D</w:t>
      </w:r>
      <w:r>
        <w:rPr>
          <w:color w:val="000000"/>
          <w:sz w:val="24"/>
          <w:szCs w:val="24"/>
        </w:rPr>
        <w:br/>
        <w:t xml:space="preserve">shape information can be computed by means of constrained local model (CLM).</w:t>
      </w:r>
      <w:r>
        <w:rPr>
          <w:color w:val="000000"/>
          <w:sz w:val="24"/>
          <w:szCs w:val="24"/>
        </w:rPr>
        <w:br/>
        <w:t xml:space="preserve">In the next step, we used this method, fitted 3D CLM to CK+ data, and derived</w:t>
      </w:r>
      <w:r>
        <w:rPr>
          <w:color w:val="000000"/>
          <w:sz w:val="24"/>
          <w:szCs w:val="24"/>
        </w:rPr>
        <w:br/>
        <w:t xml:space="preserve">the frontal views of the 2D shapes. Performance reached and sometimes surpassed</w:t>
      </w:r>
      <w:r>
        <w:rPr>
          <w:color w:val="000000"/>
          <w:sz w:val="24"/>
          <w:szCs w:val="24"/>
        </w:rPr>
        <w:br/>
        <w:t xml:space="preserve">state-of-the-art results. In the third step, we rendered 3D emotional database with</w:t>
      </w:r>
      <w:r>
        <w:rPr>
          <w:color w:val="000000"/>
          <w:sz w:val="24"/>
          <w:szCs w:val="24"/>
        </w:rPr>
        <w:br/>
        <w:t xml:space="preserve">different poses using BU 4DFE database, fitted 3D CLM, transformed the 3D shape</w:t>
      </w:r>
      <w:r>
        <w:rPr>
          <w:color w:val="000000"/>
          <w:sz w:val="24"/>
          <w:szCs w:val="24"/>
        </w:rPr>
        <w:br/>
        <w:t xml:space="preserve">to frontal pose and evaluated the outputs of our classifier. Results show that the high</w:t>
      </w:r>
      <w:r>
        <w:rPr>
          <w:color w:val="000000"/>
          <w:sz w:val="24"/>
          <w:szCs w:val="24"/>
        </w:rPr>
        <w:br/>
        <w:t xml:space="preserve">quality classification is robust against pose variations. Our approach enables both</w:t>
      </w:r>
      <w:r>
        <w:rPr>
          <w:color w:val="000000"/>
          <w:sz w:val="24"/>
          <w:szCs w:val="24"/>
        </w:rPr>
        <w:br/>
        <w:t xml:space="preserve">situational analysis where non-frontal head poses are typical and the utilization of</w:t>
      </w:r>
      <w:r>
        <w:rPr>
          <w:color w:val="000000"/>
          <w:sz w:val="24"/>
          <w:szCs w:val="24"/>
        </w:rPr>
        <w:br/>
        <w:t xml:space="preserve">robust temporal methods which can give rise to further performance gains.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81297">
    <w:multiLevelType w:val="hybridMultilevel"/>
    <w:lvl w:ilvl="0" w:tplc="24313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81297">
    <w:abstractNumId w:val="73181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909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