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IZABELLA MÁRIA BAKOS</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Antalné Tamus</w:t>
            </w:r>
          </w:p>
          <w:p w:rsidR="00DB4822" w:rsidRDefault="00DB4822" w:rsidP="00E11062">
            <w:pPr>
              <w:pStyle w:val="Konzulensek"/>
            </w:pPr>
            <w:r w:rsidRPr="00DB4822">
              <w:t>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secondary school students' food consumption preferences in Hungary and in Transylvania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Hungarian food industry has to face a lot of challenges. I believe that one possible way of being competitive in this field is to explore totally new or only partially exploited market niches and to satisfy individual needs at a high-value-added level. Those living in Transylvania are considered to be such potential small segments, that is why I have aimed at examining high school students’ food consumption habits in Hungary and Transylvania as well.</w:t>
      </w:r>
    </w:p>
    <w:p>
      <w:pPr>
        <w:widowControl w:val="on"/>
        <w:pBdr/>
        <w:spacing w:before="240" w:after="240" w:line="240" w:lineRule="auto"/>
        <w:ind w:left="0" w:right="0"/>
        <w:jc w:val="left"/>
      </w:pPr>
      <w:r>
        <w:rPr>
          <w:color w:val="000000"/>
          <w:sz w:val="24"/>
          <w:szCs w:val="24"/>
        </w:rPr>
        <w:t xml:space="preserve">As processed Hungarian foods are concerned, the central question in my research was to explore in which food categories are worth appearing more intensively on the Transylvanian market and whether it is possible to segment my high school students target group in terms of their ethnic food consumption behaviors.</w:t>
      </w:r>
    </w:p>
    <w:p>
      <w:pPr>
        <w:widowControl w:val="on"/>
        <w:pBdr/>
        <w:spacing w:before="240" w:after="240" w:line="240" w:lineRule="auto"/>
        <w:ind w:left="0" w:right="0"/>
        <w:jc w:val="left"/>
      </w:pPr>
      <w:r>
        <w:rPr>
          <w:color w:val="000000"/>
          <w:sz w:val="24"/>
          <w:szCs w:val="24"/>
        </w:rPr>
        <w:t xml:space="preserve">In the course of my research, besides processing professional literature I carried out comprehensive marketing research. I used secondary and primary research techniques including qualitative and quantitative methods.</w:t>
      </w:r>
    </w:p>
    <w:p>
      <w:pPr>
        <w:widowControl w:val="on"/>
        <w:pBdr/>
        <w:spacing w:before="240" w:after="240" w:line="240" w:lineRule="auto"/>
        <w:ind w:left="0" w:right="0"/>
        <w:jc w:val="left"/>
      </w:pPr>
      <w:r>
        <w:rPr>
          <w:color w:val="000000"/>
          <w:sz w:val="24"/>
          <w:szCs w:val="24"/>
        </w:rPr>
        <w:t xml:space="preserve">In my secondary research the Hungarian and Romanian food consumption trends and the anticipated tendencies have been analyzed by the trend estimation method. With the help of correlation studies I determined the strength of correlation between the real incomes, the food prices and the quantitative food consumption trends.</w:t>
      </w:r>
    </w:p>
    <w:p>
      <w:pPr>
        <w:widowControl w:val="on"/>
        <w:pBdr/>
        <w:spacing w:before="240" w:after="240" w:line="240" w:lineRule="auto"/>
        <w:ind w:left="0" w:right="0"/>
        <w:jc w:val="left"/>
      </w:pPr>
      <w:r>
        <w:rPr>
          <w:color w:val="000000"/>
          <w:sz w:val="24"/>
          <w:szCs w:val="24"/>
        </w:rPr>
        <w:t xml:space="preserve">In the context of my focus group interviews and questionnaires I tried to find the similarities and significant differences between the Hungarian, the Transylvanian and the Romanian eating culture of the young. Furthermore, I also examined to what extent the Transylvanian gastronomy preserved its Hungarian features and to what extent the Romanian eating traditions have been integrated into it. I also dealt with those factors that influenced their food consumption, with the regularity and quality of their eating, with the frequency of certain foods and beverages consumed, with eating out habits, with favorite food brands and with their attitude towards healthy diet. Finally, I tried to identify to what extent particular demographic characteristics determined young people’s eating habits.</w:t>
      </w:r>
    </w:p>
    <w:p>
      <w:pPr>
        <w:widowControl w:val="on"/>
        <w:pBdr/>
        <w:spacing w:before="240" w:after="240" w:line="240" w:lineRule="auto"/>
        <w:ind w:left="0" w:right="0"/>
        <w:jc w:val="left"/>
      </w:pPr>
      <w:r>
        <w:rPr>
          <w:color w:val="000000"/>
          <w:sz w:val="24"/>
          <w:szCs w:val="24"/>
        </w:rPr>
        <w:t xml:space="preserve">With my survey I obtained a lot of interesting results and conclusions. The statistically justifiable results of my variance analysis might mean the starting point of a further representative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58952">
    <w:multiLevelType w:val="hybridMultilevel"/>
    <w:lvl w:ilvl="0" w:tplc="13435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58952">
    <w:abstractNumId w:val="321589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561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