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SZÖRÖS</w:t>
            </w:r>
          </w:p>
          <w:p w:rsidR="00C275A3" w:rsidRDefault="00A96AEC" w:rsidP="00C275A3">
            <w:pPr>
              <w:pStyle w:val="Hallgatokepzes"/>
            </w:pPr>
            <w:r>
              <w:t>Law </w:t>
            </w:r>
            <w:r>
              <w:br/>
            </w:r>
            <w:r w:rsidR="00E77B23">
              <w:t>Unified, 10.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Tekla Papp </w:t>
            </w:r>
          </w:p>
          <w:p w:rsidR="00DB4822" w:rsidRDefault="00DB4822" w:rsidP="00E11062">
            <w:pPr>
              <w:pStyle w:val="Konzulensek"/>
            </w:pPr>
            <w:r w:rsidRPr="00DB4822">
              <w:t>University Professor Habil.,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Court of registry’s vs. fantomfirm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To keep the optimal economic trade, the trust towards the subjects of the economic sphere is not sufficient for the actors of the market only to abide by the necessary regulations. There must be a supporting procedure, judicial review, which is connected to the Court of Registry owing to the specificity of the economic trade. Our thesis deals exclusively with the work of the Court of Registry –a special establishment belonging to the system of Hungarian county courts-, which is the basic institution in the registration of companies.</w:t>
      </w:r>
    </w:p>
    <w:p>
      <w:pPr>
        <w:pBdr/>
        <w:spacing w:before="240" w:after="240" w:line="240" w:lineRule="auto"/>
        <w:ind w:left="0" w:right="0"/>
        <w:jc w:val="left"/>
      </w:pPr>
      <w:r>
        <w:rPr>
          <w:color w:val="000000"/>
          <w:sz w:val="24"/>
          <w:szCs w:val="24"/>
        </w:rPr>
        <w:t xml:space="preserve">Nowdays the significance of the Court of Registry is even more important, because phantom firms have constantly been established over the last years, which cannot be reached or found at their headquarters (business premises, branch offices) or at the permanent adresses of their representatives.</w:t>
      </w:r>
    </w:p>
    <w:p>
      <w:pPr>
        <w:pBdr/>
        <w:spacing w:before="240" w:after="240" w:line="240" w:lineRule="auto"/>
        <w:ind w:left="0" w:right="0"/>
        <w:jc w:val="left"/>
      </w:pPr>
      <w:r>
        <w:rPr>
          <w:color w:val="000000"/>
          <w:sz w:val="24"/>
          <w:szCs w:val="24"/>
        </w:rPr>
        <w:t xml:space="preserve">Our thesis focuses on the essentials of phantom firms firstly, specifying their connections with judicial reviews. Judicial review is analyzed from two aspects by a brand new principle, which has not been recognized in specialist literature: Special judicial reviews had been examined, which regulate the liquidation of existing companies and other firms without known headquarters. Among these two only the liqudation of existing companies are analyzed in details. Our reason to choose this type of procedure was to demonstrate the specific practice of certain Courts of Registry and to show the individual solutions of judges applying company law.</w:t>
      </w:r>
    </w:p>
    <w:p>
      <w:pPr>
        <w:pBdr/>
        <w:spacing w:before="240" w:after="240" w:line="240" w:lineRule="auto"/>
        <w:ind w:left="0" w:right="0"/>
        <w:jc w:val="left"/>
      </w:pPr>
      <w:r>
        <w:rPr>
          <w:color w:val="000000"/>
          <w:sz w:val="24"/>
          <w:szCs w:val="24"/>
        </w:rPr>
        <w:t xml:space="preserve">In our work we not only made a comparative-analyzing survey about the found documents of the phantom firms, which are in connection with judicial reviews and liquidation procedures, but also we had examined current legislation, judicial decisions and specialist literature.</w:t>
      </w:r>
    </w:p>
    <w:p>
      <w:pPr>
        <w:pBdr/>
        <w:spacing w:before="240" w:after="240" w:line="240" w:lineRule="auto"/>
        <w:ind w:left="0" w:right="0"/>
        <w:jc w:val="left"/>
      </w:pPr>
      <w:r>
        <w:rPr>
          <w:color w:val="000000"/>
          <w:sz w:val="24"/>
          <w:szCs w:val="24"/>
        </w:rPr>
        <w:t xml:space="preserve">We can draw the following conclusions: Choosing the principle pertaining to the possibly best measure is not observed, its biggest barrier seems to be the observance of the principle of gradation by judges of Couts of Registry prescribed in earlier Company Acts. But this principle was not observed earlier totally. In my view it also must be taken into account that coming into contact with the company is almost impossible, thus the application of those sort of measures -which presuppose the company to be attainable- should be passed over, because these cannot lead us to the expected result.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19116">
    <w:multiLevelType w:val="hybridMultilevel"/>
    <w:lvl w:ilvl="0" w:tplc="11237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19116">
    <w:abstractNumId w:val="99019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588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