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OCSOVAI GABRIELLA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Illés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Beszállítási termékstruktúra csomagolásának logisztikai problémái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egy nagyvállalat adott beszállítói csomagolási struktúrája esetében kívánom feltárni a csomagolással szemben támasztott követelményrendszert, vizsgálom ennek megfelelően és adott célfüggvények szerint az optimális csomagolás kialakítás lehetőségeit.</w:t>
      </w:r>
      <w:r>
        <w:rPr>
          <w:color w:val="000000"/>
          <w:sz w:val="24"/>
          <w:szCs w:val="24"/>
        </w:rPr>
        <w:br/>
        <w:t xml:space="preserve">Dolgozatomban a Robert Bosch Energy and Body Systems Kft. csomagolási csoportjának munkájával fogok részletesebben foglalkozni, ahol fő vizsgálati területem a beszállítói csomagolás. Ahhoz viszont, hogy hatékonyan tudjam elemezni a  göngyölegekkel folytatott tevékenységeket, szükséges, hogy az RBHM szállítási tevékenységét, illetve a vállalat fennálló szállítási rendszerét megvizsgáljam, hiszen ennek függvényében tervezik a csomagolási módozatokat.</w:t>
      </w:r>
      <w:r>
        <w:rPr>
          <w:color w:val="000000"/>
          <w:sz w:val="24"/>
          <w:szCs w:val="24"/>
        </w:rPr>
        <w:br/>
        <w:t xml:space="preserve">A mai termékválaszték körülbelül 98 %-á eredeti állapotában a szállításra, tárolásra és értékesítésre alkalmatlan. Ezért van  szükség a termékek mennyiségi és minőségi védelmét garantáló, az előállítástól a felhasználásig jelenlévő védőburkolatra, vagyis a csomagolásra.</w:t>
      </w:r>
      <w:r>
        <w:rPr>
          <w:color w:val="000000"/>
          <w:sz w:val="24"/>
          <w:szCs w:val="24"/>
        </w:rPr>
        <w:br/>
        <w:t xml:space="preserve">A csomagolás jellemzői kihatnak a rakodási, egységrakomány-képzési és a betárolási technológiára. A csomagolási tevékenység nem hoz létre új, a társadalom számára fogyasztható értéket. Kiemelkedő szerepe van viszont az előállított anyagi javak piaci és használati értékének megóvásában, sőt növelésében is. Napjainkban fontos szempont a csomagolás környezetre</w:t>
      </w:r>
      <w:r>
        <w:rPr>
          <w:color w:val="000000"/>
          <w:sz w:val="24"/>
          <w:szCs w:val="24"/>
        </w:rPr>
        <w:br/>
        <w:t xml:space="preserve">gyakorolt hatása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43178">
    <w:multiLevelType w:val="hybridMultilevel"/>
    <w:lvl w:ilvl="0" w:tplc="44315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43178">
    <w:abstractNumId w:val="881431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8064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