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FORGÁCS</w:t>
            </w:r>
          </w:p>
          <w:p w:rsidR="00C275A3" w:rsidRDefault="00A96AEC" w:rsidP="00C275A3">
            <w:pPr>
              <w:pStyle w:val="Hallgatokepzes"/>
            </w:pPr>
            <w:r>
              <w:t>Software Information Technology</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Fegyverneki</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 recognition method based on Markov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techniques of the statistical models in the automatic reader systems heavily rely on the succinct representation of characters. The feature extraction is the base of handwriting-recognition. These are usually heuristic methods which describe the main geometry of the characters, or describe the distribution of the character's pixels.</w:t>
      </w:r>
      <w:r>
        <w:rPr>
          <w:color w:val="000000"/>
          <w:sz w:val="24"/>
          <w:szCs w:val="24"/>
        </w:rPr>
        <w:br/>
        <w:t xml:space="preserve">Markov models can be used for various problems, including character recognition. We distinguish three cases: printed, hand printed or hand written characters. Nowadays, although recognition of printed characters is performed with high accuracy, recognition of handwritten characters remains an open problem in the research arena. In this paper we discuss the second case, specializing for digits.</w:t>
      </w:r>
      <w:r>
        <w:rPr>
          <w:color w:val="000000"/>
          <w:sz w:val="24"/>
          <w:szCs w:val="24"/>
        </w:rPr>
        <w:br/>
        <w:t xml:space="preserve">Characters have unique features, which separate them from each other. The grouping can be based on the handwriting process. However, this additional information isn't present in the scanned characters, so we have to find a method to approximate it. We use a sequence to describe the result of the method, where the subsequence might contain noise.</w:t>
      </w:r>
      <w:r>
        <w:rPr>
          <w:color w:val="000000"/>
          <w:sz w:val="24"/>
          <w:szCs w:val="24"/>
        </w:rPr>
        <w:br/>
        <w:t xml:space="preserve">We can approximate the noise-free sequences with a Markov chain, and the noisy sequences with another Markov chain which can't be directly observed.</w:t>
      </w:r>
      <w:r>
        <w:rPr>
          <w:color w:val="000000"/>
          <w:sz w:val="24"/>
          <w:szCs w:val="24"/>
        </w:rPr>
        <w:br/>
        <w:t xml:space="preserve">The first part of this paper describes the feature extraction process. The second part is the brief introduction of the theory of hidden Markov chains. The last part presents the results and the program used to produce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11619">
    <w:multiLevelType w:val="hybridMultilevel"/>
    <w:lvl w:ilvl="0" w:tplc="60310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11619">
    <w:abstractNumId w:val="85211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419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