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RIA SÓSPATAKI</w:t>
            </w:r>
          </w:p>
          <w:p w:rsidR="00C275A3" w:rsidRDefault="00A96AEC" w:rsidP="00C275A3">
            <w:pPr>
              <w:pStyle w:val="Hallgatokepzes"/>
            </w:pPr>
            <w:r>
              <w:t>Horticultural engineer</w:t>
            </w:r>
            <w:r>
              <w:br/>
            </w:r>
            <w:r w:rsidR="00E77B23">
              <w:t>BSc, 9.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Gergely Simon</w:t>
            </w:r>
          </w:p>
          <w:p w:rsidR="00DB4822" w:rsidRDefault="00DB4822" w:rsidP="00E11062">
            <w:pPr>
              <w:pStyle w:val="Konzulensek"/>
            </w:pPr>
            <w:r w:rsidRPr="00DB4822">
              <w:t>Associate professor,, BCE KERTK</w:t>
            </w:r>
          </w:p>
        </w:tc>
      </w:tr>
      <w:tr w:rsidR="00DB4822" w:rsidTr="00DB4822">
        <w:tc>
          <w:tcPr>
            <w:tcW w:w="9854" w:type="dxa"/>
          </w:tcPr>
          <w:p w:rsidR="00DB4822" w:rsidRPr="00DB4822" w:rsidRDefault="00DB4822" w:rsidP="004D7940">
            <w:pPr>
              <w:pStyle w:val="Konzulensek"/>
            </w:pPr>
            <w:r w:rsidRPr="00DB4822">
              <w:t>Dr. Miklós Józsa</w:t>
            </w:r>
          </w:p>
          <w:p w:rsidR="00DB4822" w:rsidRDefault="00DB4822" w:rsidP="00E11062">
            <w:pPr>
              <w:pStyle w:val="Konzulensek"/>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uses of Wolfberry (Lycium barbarum) as a fruit in an international breadth of view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Wolfberry ( Lycium barbarum) population of Hungary was recorded along with a creation of a clone stock, with the latter's examination done between 2009 and 2011. The stock was created at the nursery of Dr. Miklós Józsa, with 67 different clones collected from various parts of the country.</w:t>
      </w:r>
    </w:p>
    <w:p>
      <w:pPr>
        <w:pBdr/>
        <w:spacing w:before="240" w:after="240" w:line="240" w:lineRule="auto"/>
        <w:ind w:left="0" w:right="0"/>
        <w:jc w:val="left"/>
      </w:pPr>
      <w:r>
        <w:rPr>
          <w:color w:val="000000"/>
          <w:sz w:val="24"/>
          <w:szCs w:val="24"/>
        </w:rPr>
        <w:t xml:space="preserve">Along with the clones, we planted already patented species to be compared with our chosen Lyciums. The collection of the clones was done by different aspects, however we tried to choose the sweetest and biggest yield producing wolfberries. In my paper, I wish to present the 6 best of 67 collected Lycium clones by their bush and fruit attributes. My examinations were the following: The generative and vegetative parameters of the bushes were examined. The attributes of the fruits: in the riping phase each of the clones were measured in parallel with the maturation of the bush. 3 times 5 samples were taken from each clone and the primary attributes were measured on the 15 berries. The nutrient content of the fruits were examined. Total amount of soluble sugar content: A homogeneous solvent was produced through a small hole sieve from 150 frozen fruits of each clone. Determination of sugar content using HPLC: the sugar components and the ratio of these in the Lycium fruit pulp. The amount of soluble antioxidant content were defined by FRAP method. Data management and statistical evaluation: about the growing parameters of the examined clones we can say that these had weaker growing attributes in their second year stock than the patented species with one exception. The parameters of the fruits highlights that the clones we selected include more fluorishing plants than the already grown clones. The total sugar content showed great variety between the clones. We determined the glucose – fructose ratio, they are present in a nearly identical amount of the berries' sugar components. Using spectrophotometry we defined the carotenoid content of the berries. The results showed that the difference can reach 50%. This difference can alter the uses of the clones' berries. Using FRAP we defined the soluble antioxidant capacity. </w:t>
      </w:r>
    </w:p>
    <w:p>
      <w:pPr>
        <w:pBdr/>
        <w:spacing w:before="240" w:after="240" w:line="240" w:lineRule="auto"/>
        <w:ind w:left="0" w:right="0"/>
        <w:jc w:val="left"/>
      </w:pPr>
      <w:r>
        <w:rPr>
          <w:color w:val="000000"/>
          <w:sz w:val="24"/>
          <w:szCs w:val="24"/>
        </w:rPr>
        <w:br/>
        <w:t xml:space="preserve">The results presented in my paper confirms the favorable bush and fruit attributes of the Hungarian Lycium population. My paper is based on a 1 year data series, therefore I think it is necessary to further examine these harvested clones both outdoor and in laboratories.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627894">
    <w:multiLevelType w:val="hybridMultilevel"/>
    <w:lvl w:ilvl="0" w:tplc="137291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627894">
    <w:abstractNumId w:val="956278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1525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