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PÁLFFY ANDRÁS</w:t>
            </w:r>
          </w:p>
          <w:p w:rsidR="00C275A3" w:rsidRDefault="00A96AEC" w:rsidP="00C275A3">
            <w:pPr>
              <w:pStyle w:val="Hallgatokepzes"/>
            </w:pPr>
            <w:r>
              <w:t>Növényorvos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Szilvaültetvény kártevő és ragadozó atkái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Kísérleteimet a Budapesti Corvinus Egyetem Kertészettudományi Kar Soroksári Kísérleti üzem szilva fajtagyűjteményében végeztem. Nyolc szilva fajtán vizsgáltam a Phytoseiidae fajok elterjedését, a közönséges takácsatka egyedszámát és a Zetzellia mali előfordulását.</w:t>
      </w:r>
      <w:r>
        <w:rPr>
          <w:color w:val="000000"/>
          <w:sz w:val="24"/>
          <w:szCs w:val="24"/>
        </w:rPr>
        <w:br/>
        <w:t xml:space="preserve">A mintavételek 2011. június 23, július 18, augusztus 8 és augusztus 29-én történtek. A Phytoseiidae családba tartozó egyedeket Berlese-Hoyer oldatban preparáltam, a Tetranychus urticae és a Zetzellia mali egyedeit pedig megszámoltam.</w:t>
      </w:r>
      <w:r>
        <w:rPr>
          <w:color w:val="000000"/>
          <w:sz w:val="24"/>
          <w:szCs w:val="24"/>
        </w:rPr>
        <w:br/>
        <w:t xml:space="preserve">A június 23. és július 18. között eltelt időben a T. urticae gyakorlatilag minden szilva fajtában felszaporodott, különösen a Ruth Gerstetter fajtán. Az akaricides kezelést követően a közönséges takácsatka egyedszáma fokozatosan csökkent, egyes fajtákon teljesen el is tűnt. Az augusztusi magasabb Phytoseiidae egyedszámok arra utalnak, hogy az akaricides kezelések (Ortus 5 SC és a Nissorun 10 WP) szelektív hatásúak a ragadozó atkákra, különösen az Amblyseius andersoni fajra. Az állományban megtaláltam továbbá az Anthoseius hungaricus, Dubininellus echinus, Euseius finlandicus, Kampimodromus aberrans, Paraseiulus triporus egyedeit is, de ezek a fajok gyakorlati szempontból nem voltak meghatározó jelentőségűek. Általánosan megállapítható volt, hogy a ragadozó atka populáció egyedszáma késéssel „reagál” a közönséges takácsatka populációjának egyedszám változására.</w:t>
      </w:r>
      <w:r>
        <w:rPr>
          <w:color w:val="000000"/>
          <w:sz w:val="24"/>
          <w:szCs w:val="24"/>
        </w:rPr>
        <w:br/>
        <w:t xml:space="preserve">A vegetáció során a Debreceni muskotály, a Bluefre és az Althan ringló fajták levelein a Z. mali egyedszáma meghaladta a Phytoseiidae fajok számát. A vegetáció során a Z. mali populáció dinamikájában csökkenő tendencia volt megfigyelhető. A június és július havi megfigyelések alkalmával a Z. mali és az A. andresoni egyedei párhuzamosan jelen voltak az ültetvényben. A vegetáció végére minden szilvafajta levelén az A. andersoni egyedei voltak nagyobb számban.</w:t>
      </w:r>
      <w:r>
        <w:rPr>
          <w:color w:val="000000"/>
          <w:sz w:val="24"/>
          <w:szCs w:val="24"/>
        </w:rPr>
        <w:br/>
        <w:t xml:space="preserve">A Bluefre termőnyársain károsított a legnagyobb, míg a Silvia, a Ruth Gerstetter és az Althan ringló termőgallyain károsított a legkevésbé a szilvakéreg-gubacsatka (Acalitus phloeocoptes). Megfigyeltem, hogy azon fajtákon, amelyeken nagy volt a gubacsok száma, túlsúlyban voltak a termőnyársak, míg a hosszabb termőnyársakat fejlesztő fajtákon kevesebb gubacsot számoltam. Valószínűsíthető, hogy a szilvakéreg-gubacsatkák az intenzíven növekedő szilva fajták hajtásain nem tudnak olyan ütemben felfelé haladni, hogy azokon a vegetációs időszak végére képesek legyenek gubacsokat kialakítani.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41795">
    <w:multiLevelType w:val="hybridMultilevel"/>
    <w:lvl w:ilvl="0" w:tplc="93629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41795">
    <w:abstractNumId w:val="64341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468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