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PÁLFFY</w:t>
            </w:r>
          </w:p>
          <w:p w:rsidR="00C275A3" w:rsidRDefault="00A96AEC" w:rsidP="00C275A3">
            <w:pPr>
              <w:pStyle w:val="Hallgatokepzes"/>
            </w:pPr>
            <w:r>
              <w:t>Expert in plant protection MSc</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Árpád Szabó Ph.D.</w:t>
            </w:r>
          </w:p>
          <w:p w:rsidR="00DB4822" w:rsidRDefault="00DB4822" w:rsidP="00E11062">
            <w:pPr>
              <w:pStyle w:val="Konzulensek"/>
            </w:pPr>
            <w:r w:rsidRPr="00DB4822">
              <w:t>demonstrator,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Mite fauna study in a plum orchard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made my experiments in a plum orchard of the Experimental and Research Farm (Corvinus University of Budapest, Faculty of Horticultural Science) in Soroksár. I investigated the occurrence of the phytoseiid species, the two spotted spider mite and Zetzellia mali on 8 plum cultivars.</w:t>
      </w:r>
      <w:r>
        <w:rPr>
          <w:color w:val="000000"/>
          <w:sz w:val="24"/>
          <w:szCs w:val="24"/>
        </w:rPr>
        <w:br/>
        <w:t xml:space="preserve">In 2011 the samplings were on the 23 June, 18 July, 8 August and the 29 August. The mobile individuals of phytoseiid mites were collected and placed in Berlese-Hoyer’s medium, the Tetranychus urticae and Zetzellia mali species were counted.</w:t>
      </w:r>
      <w:r>
        <w:rPr>
          <w:color w:val="000000"/>
          <w:sz w:val="24"/>
          <w:szCs w:val="24"/>
        </w:rPr>
        <w:br/>
        <w:t xml:space="preserve">From the 23 June till the 18 July T. urticae proliferated on all plum cultivars, especially on the Ruth Gerstetter. After the acaricide treatment the number of the two spotted spider mite decreased gradually, on certain plum cultivars completely disappeared. The populations of phytoseiid mites were higher in August. This phenomenon shows that the applied acaricides (Ortus 5 SC and Nissorun 10 WP) had selective effect on the predatory species, especially on the Amblyseius andersoni. In the orchard were also found some rare species (Anthoseius occiduus, A. hungaricus, Dubininellus echinus, Euseius finlandicus, Kampimodromus aberrans, and Paraseiulus triporus). Accordingly to my results, it has been proven that the predatory mite population responded with delay to the spider mite population abundance changes.</w:t>
      </w:r>
      <w:r>
        <w:rPr>
          <w:color w:val="000000"/>
          <w:sz w:val="24"/>
          <w:szCs w:val="24"/>
        </w:rPr>
        <w:br/>
        <w:t xml:space="preserve">During the growing season the number of the Z. mali individuals exceeded the number of the phytoseiid specimens on Debrecen Muscat, Bluefre and the Althan greengage plum. During the experiment I assumed a downward trend in the number of Z. mali, at last measurement on some cultivars (Stanley, Bluefre) the individuals were gone. From June to July the Z. mali and A. andresoni specimens were simultaneously present in the orchard. At the end of the growing season on every cultivars the number of A. andersoni were the highest.</w:t>
      </w:r>
      <w:r>
        <w:rPr>
          <w:color w:val="000000"/>
          <w:sz w:val="24"/>
          <w:szCs w:val="24"/>
        </w:rPr>
        <w:br/>
        <w:t xml:space="preserve">The plum blister mite (Acalitus phloeocoptes) damaged mostly on the Bluefre, while the Silvia, the Ruth Gerstetter and the Althan greengage cultivars were the least damaged. I noticed that those varieties, which carpelstems were dominantly shorter, had a large number of galls, while on plum varieties which developed larger carpelstems I counted less galls. It is likely that the plum varieties which grow intensively the plum blister mites can’t reach the end of the shoots, so they are not able to develop galls in the actual growing season.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463850">
    <w:multiLevelType w:val="hybridMultilevel"/>
    <w:lvl w:ilvl="0" w:tplc="115197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463850">
    <w:abstractNumId w:val="544638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59861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