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LÁSZLÓ TALLER</w:t>
            </w:r>
          </w:p>
          <w:p w:rsidR="00C275A3" w:rsidRDefault="00A96AEC" w:rsidP="00C275A3">
            <w:pPr>
              <w:pStyle w:val="Hallgatokepzes"/>
            </w:pPr>
            <w:r>
              <w:t>Agricultural Biotechnology</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Hegedűs</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Bernadett Szikriszt</w:t>
            </w:r>
          </w:p>
          <w:p w:rsidR="00DB4822" w:rsidRDefault="00DB4822" w:rsidP="00E11062">
            <w:pPr>
              <w:pStyle w:val="Konzulensek"/>
            </w:pPr>
            <w:r w:rsidRPr="00DB4822">
              <w:t>technical assistant,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Perspectives of Ukrainian sweet cherry cultivars as donor genotypes in a functional breeding program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Health-promoting value of fruits is becoming an important element of consumer preferences. The antioxidant compounds are of specific importance, because their additive and synergistic effects contribute to the prevention of several widespread and serious diseases. In Hungary, cultivated sweet cherry cultivars provide fruits with relatively low antioxidant capacity. Breeding sweet cherry to increase fruit antioxidant capacity can be only based on the assessment of intra-specific variations in this trait and the identification of genotypes with outstanding antioxidant power. Their inclusion into a breeding program requires cross-compatibility with breeding partners, a character determined by the S-alleles.</w:t>
      </w:r>
    </w:p>
    <w:p>
      <w:pPr>
        <w:pBdr/>
        <w:spacing w:before="240" w:after="240" w:line="240" w:lineRule="auto"/>
        <w:ind w:left="0" w:right="0"/>
        <w:jc w:val="left"/>
      </w:pPr>
      <w:r>
        <w:rPr>
          <w:color w:val="000000"/>
          <w:sz w:val="24"/>
          <w:szCs w:val="24"/>
        </w:rPr>
        <w:t xml:space="preserve">We characterized the antioxidant capacity in fruits of 13 Ukrainian sweet cherry (Prunus avium L) genotypes using three assays (ferric reducing antioxidant power, ABTS radical scavenging capacity and Folin-Ciocalteu reducing capacity). Based on the combined results of the three methods, the most promising cultivars included ‘Kutuzovka’, Melitopolskaya krapchataya’, ‘Dagestanka’ and ‘Kodrinskaya’. Their antioxidant capacity was significantly higher than those of all commercial cultivars.</w:t>
      </w:r>
    </w:p>
    <w:p>
      <w:pPr>
        <w:pBdr/>
        <w:spacing w:before="240" w:after="240" w:line="240" w:lineRule="auto"/>
        <w:ind w:left="0" w:right="0"/>
        <w:jc w:val="left"/>
      </w:pPr>
      <w:r>
        <w:rPr>
          <w:color w:val="000000"/>
          <w:sz w:val="24"/>
          <w:szCs w:val="24"/>
        </w:rPr>
        <w:t xml:space="preserve">Sweet cherry is predominantly self-incompatible. Self-incompatible cultivars carrying the same S-alleles belong to a common cross-incompatibility group (CIG) as they cannot fertilize each other. Designing cultivar association in orchards or parental combinations in breeding require knowledge on the S-genotype. Altogether, the complete S-genotype was determined for 12 Ukrainian sweet cherries (particularly S-genotype for one variety) tested in this study. And these cultivars were assigned to previously established CIGs. In addition, we determined some parental combinations that might be used or must be avoided in a functional breeding program.</w:t>
      </w:r>
    </w:p>
    <w:p>
      <w:pPr>
        <w:pBdr/>
        <w:spacing w:before="240" w:after="240" w:line="240" w:lineRule="auto"/>
        <w:ind w:left="0" w:right="0"/>
        <w:jc w:val="left"/>
      </w:pPr>
      <w:r>
        <w:rPr>
          <w:color w:val="000000"/>
          <w:sz w:val="24"/>
          <w:szCs w:val="24"/>
        </w:rPr>
        <w:t xml:space="preserve">The ♀ ‘Perspektivnaya’ (S</w:t>
      </w:r>
      <w:r>
        <w:rPr>
          <w:color w:val="000000"/>
          <w:position w:val="-4"/>
          <w:sz w:val="21"/>
          <w:szCs w:val="21"/>
          <w:vertAlign w:val="subscript"/>
        </w:rPr>
        <w:t xml:space="preserve">1</w:t>
      </w:r>
      <w:r>
        <w:rPr>
          <w:color w:val="000000"/>
          <w:sz w:val="24"/>
          <w:szCs w:val="24"/>
        </w:rPr>
        <w:t xml:space="preserve">S</w:t>
      </w:r>
      <w:r>
        <w:rPr>
          <w:color w:val="000000"/>
          <w:position w:val="-4"/>
          <w:sz w:val="21"/>
          <w:szCs w:val="21"/>
          <w:vertAlign w:val="subscript"/>
        </w:rPr>
        <w:t xml:space="preserve">2</w:t>
      </w:r>
      <w:r>
        <w:rPr>
          <w:color w:val="000000"/>
          <w:sz w:val="24"/>
          <w:szCs w:val="24"/>
        </w:rPr>
        <w:t xml:space="preserve">) × ♂ ‘Santina’ (S</w:t>
      </w:r>
      <w:r>
        <w:rPr>
          <w:color w:val="000000"/>
          <w:position w:val="-4"/>
          <w:sz w:val="21"/>
          <w:szCs w:val="21"/>
          <w:vertAlign w:val="subscript"/>
        </w:rPr>
        <w:t xml:space="preserve">1</w:t>
      </w:r>
      <w:r>
        <w:rPr>
          <w:color w:val="000000"/>
          <w:sz w:val="24"/>
          <w:szCs w:val="24"/>
        </w:rPr>
        <w:t xml:space="preserve">S</w:t>
      </w:r>
      <w:r>
        <w:rPr>
          <w:color w:val="000000"/>
          <w:position w:val="-4"/>
          <w:sz w:val="21"/>
          <w:szCs w:val="21"/>
          <w:vertAlign w:val="subscript"/>
        </w:rPr>
        <w:t xml:space="preserve">4’</w:t>
      </w:r>
      <w:r>
        <w:rPr>
          <w:color w:val="000000"/>
          <w:sz w:val="24"/>
          <w:szCs w:val="24"/>
        </w:rPr>
        <w:t xml:space="preserve">) combination might be perspective by providing only self-compatible seedlings, some of which may have fruits of increased antioxidant capacity. ‘Kutuzovka’ might be a perspective donor genotype, because it has the highest antioxidant capacity and outstanding anthocyanin content. Moreover, this variety is carrying an unknown allele, so can be used as a universal pollinator.</w:t>
      </w:r>
    </w:p>
    <w:p>
      <w:pPr>
        <w:pBdr/>
        <w:spacing w:before="240" w:after="240" w:line="240" w:lineRule="auto"/>
        <w:ind w:left="0" w:right="0"/>
        <w:jc w:val="left"/>
      </w:pPr>
      <w:r>
        <w:rPr>
          <w:color w:val="000000"/>
          <w:sz w:val="24"/>
          <w:szCs w:val="24"/>
        </w:rPr>
        <w:t xml:space="preserve">The results of this analysis expands our knowledge on sweet cherry genetics and will be directly useful in breeding programs to establish new cultivars with fruits of enhanced health-promoting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43431">
    <w:multiLevelType w:val="hybridMultilevel"/>
    <w:lvl w:ilvl="0" w:tplc="32139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43431">
    <w:abstractNumId w:val="43843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621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