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SOJNÓCZKI</w:t>
            </w:r>
          </w:p>
          <w:p w:rsidR="00C275A3" w:rsidRDefault="00A96AEC" w:rsidP="00C275A3">
            <w:pPr>
              <w:pStyle w:val="Hallgatokepzes"/>
            </w:pPr>
            <w:r>
              <w:t>Horticultural Engineering</w:t>
            </w:r>
            <w:r>
              <w:br/>
            </w:r>
            <w:r w:rsidR="00E77B23">
              <w:t>BSc, 9.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Deák PhD</w:t>
            </w:r>
          </w:p>
          <w:p w:rsidR="00DB4822" w:rsidRDefault="00DB4822" w:rsidP="00E11062">
            <w:pPr>
              <w:pStyle w:val="Konzulensek"/>
            </w:pPr>
            <w:r w:rsidRPr="00DB4822">
              <w:t> 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Applicability of the marker SCC8 in resistant seedless table grape breeding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an essential claim in today’s table grape breeding to breed seedless genotypes. Except of a few varieties, exclusively seedless table grapes are traded on the world market. I have studied the applicability of a DNA based marker associated with stenospermocarp seedlessness of grapevines. Breeding resources of Hungarian resistant table grape breeding, seeded and seedless varieties widely used in cross breeding and three further hybrid generations were analysed. Furthermore I have compared SCC8 genotypes of seeded and stenospermocarp seedless varieties and breeding lines mentioned in bibliography and I have evaluated the prospect of applicability of the marker in cross breeding of these genotypes.</w:t>
      </w:r>
    </w:p>
    <w:p>
      <w:pPr>
        <w:widowControl w:val="on"/>
        <w:pBdr/>
        <w:spacing w:before="240" w:after="240" w:line="240" w:lineRule="auto"/>
        <w:ind w:left="0" w:right="0"/>
        <w:jc w:val="left"/>
      </w:pPr>
      <w:r>
        <w:rPr>
          <w:color w:val="000000"/>
          <w:sz w:val="24"/>
          <w:szCs w:val="24"/>
        </w:rPr>
        <w:t xml:space="preserve">I have concluded that applicability of marker is heavily limited because of the presence of recombinant and null alleles detected in several seeded varieties and in progenies used in the involved multiresistant seedless breeding program. In case of two of the three studied hybrid generations it was observed that use of the marker is limited, or it cannot be used at all. Pedigree of the family 07-12 and also their SCC8 genotype proves the presence of two null alleles. Nearly all of the family’s progenitors carry at least one null allele and presumably only such alleles have been transmitted into the parents. By these, it has been cleared that in case of family 07-12 the marker cannot be applied for selection for seedlessness. In case of family 06-7, the marker isn't applicable with 100% either, because of the recombinant allele present in the multiresistant breeding line BC4. Seeded varieties and breeding lines applied in Hungarian resistant table grape breeding contain the recombinant allele in high proportion. This fact considerably inhibits the applicability of the marker SCC8. To identify stenospermocarp seedlessness of grapevines with high efficacy in these breeding programs, improvement of the marker projected on SCC8 locus, or introduction of new markers are necessary.</w:t>
      </w:r>
    </w:p>
    <w:p>
      <w:pPr>
        <w:widowControl w:val="on"/>
        <w:pBdr/>
        <w:spacing w:before="240" w:after="240" w:line="240" w:lineRule="auto"/>
        <w:ind w:left="0" w:right="0"/>
        <w:jc w:val="left"/>
      </w:pPr>
      <w:r>
        <w:rPr>
          <w:color w:val="000000"/>
          <w:sz w:val="24"/>
          <w:szCs w:val="24"/>
        </w:rPr>
        <w:t xml:space="preserve">I have estimated the theoretical prospect of applicability of the marker in progenies of randomly selected parent combinations of varieties and breeding lines with known SCC8 genotype, based on genotype distribution of seeded and seedless individuals. In seedless×seedless crosses applicability of the marker is 94 %, but there are some cases, when applicability depends on the exact genotype of the parents. In seeded×seedless crosses the applicability of the marker is lower (72%).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20580">
    <w:multiLevelType w:val="hybridMultilevel"/>
    <w:lvl w:ilvl="0" w:tplc="93416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20580">
    <w:abstractNumId w:val="22020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397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