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HEGEDŰS</w:t>
            </w:r>
          </w:p>
          <w:p w:rsidR="00C275A3" w:rsidRDefault="00A96AEC" w:rsidP="00C275A3">
            <w:pPr>
              <w:pStyle w:val="Hallgatokepzes"/>
            </w:pPr>
            <w:r>
              <w:t>security and defence policy</w:t>
            </w:r>
            <w:r>
              <w:br/>
            </w:r>
            <w:r w:rsidR="00E77B23">
              <w:t>BSc, 5.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Liutenant-colonel Dr. Tibor Szilvágyi</w:t>
            </w:r>
          </w:p>
          <w:p w:rsidR="00DB4822" w:rsidRDefault="00DB4822" w:rsidP="00E11062">
            <w:pPr>
              <w:pStyle w:val="Konzulensek"/>
            </w:pPr>
            <w:r w:rsidRPr="00DB4822">
              <w:t>retired of service,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and future of the military, military diplomacy relations between Hungary and the Western-Balkan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aims to prove, that the Western-Balkan region is important of security and military policy viewpoint for Hungary. The proof in the paper happened through the extensive military relations. I show in the introductory part from the geopolitical, historical background, and the security policy documentation, what reason taking part of the country in the conflicts of the region.</w:t>
      </w:r>
    </w:p>
    <w:p>
      <w:pPr>
        <w:pBdr/>
        <w:spacing w:before="240" w:after="240" w:line="240" w:lineRule="auto"/>
        <w:ind w:left="0" w:right="0"/>
        <w:jc w:val="left"/>
      </w:pPr>
      <w:r>
        <w:rPr>
          <w:color w:val="000000"/>
          <w:sz w:val="24"/>
          <w:szCs w:val="24"/>
        </w:rPr>
        <w:t xml:space="preserve">The first main section shows that how Hungary took place in the post-conflict settlement via international organizations and treaties. The presentation of the different missions happened in each countries. In a part as a conclusion I draw some conclusions on the main lines of the military involvement in the region and what is the future for the Hungarian Defence Force in this viewpoint.</w:t>
      </w:r>
    </w:p>
    <w:p>
      <w:pPr>
        <w:pBdr/>
        <w:spacing w:before="240" w:after="240" w:line="240" w:lineRule="auto"/>
        <w:ind w:left="0" w:right="0"/>
        <w:jc w:val="left"/>
      </w:pPr>
      <w:r>
        <w:rPr>
          <w:color w:val="000000"/>
          <w:sz w:val="24"/>
          <w:szCs w:val="24"/>
        </w:rPr>
        <w:t xml:space="preserve">The second main part is a presentation of bilateral military relations. I show the bilateral military contacts after the Yugoslav Wars, and the investigation of the cooperations, military leaders meetings, agreements, joint assemblies, joint mission activities. The second part aims to demonstrate the development of bilateral military relations and the current state of play, which imply a vision of the future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35649">
    <w:multiLevelType w:val="hybridMultilevel"/>
    <w:lvl w:ilvl="0" w:tplc="29424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35649">
    <w:abstractNumId w:val="336356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8967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