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BUDAI</w:t>
            </w:r>
          </w:p>
          <w:p w:rsidR="00C275A3" w:rsidRDefault="00A96AEC" w:rsidP="00C275A3">
            <w:pPr>
              <w:pStyle w:val="Hallgatokepzes"/>
            </w:pPr>
            <w:r>
              <w:t>Security and defence policy</w:t>
            </w:r>
            <w:r>
              <w:br/>
            </w:r>
            <w:r w:rsidR="00E77B23">
              <w:t>BSc, 5.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Ruppert</w:t>
            </w:r>
          </w:p>
          <w:p w:rsidR="00DB4822" w:rsidRDefault="00DB4822" w:rsidP="00E11062">
            <w:pPr>
              <w:pStyle w:val="Konzulensek"/>
            </w:pPr>
            <w:r w:rsidRPr="00DB4822">
              <w:t>assistant professor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Spain and terrorism - The terror-threat and its effect between 2001 and 2011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study is to provide a real view about the terror-threat of Spain and show its effects between 2001 and 2011. First, the author presents the history and the activity of the three most important terrorist organization. The research examines the security perception of the Spanish society from 2002 to 2001 by polls considering the presence of terrorism, then overviews the legal and organizational changes after the madrid bombings. In chronological order, the study introduces the development of startegic documents related to the fight against terrorism. After that, the author present the most significant aspects of the Spanish counter-terrorism activity in relation of the international cooperation and finally, summarizes the changes after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25975">
    <w:multiLevelType w:val="hybridMultilevel"/>
    <w:lvl w:ilvl="0" w:tplc="39536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25975">
    <w:abstractNumId w:val="23525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009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