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TIHAMÉR SEBESTYÉN</w:t>
            </w:r>
          </w:p>
          <w:p w:rsidR="00C275A3" w:rsidRDefault="00A96AEC" w:rsidP="00C275A3">
            <w:pPr>
              <w:pStyle w:val="Hallgatokepzes"/>
            </w:pPr>
            <w:r>
              <w:t>Geography</w:t>
            </w:r>
            <w:r>
              <w:br/>
            </w:r>
            <w:r w:rsidR="00E77B23">
              <w:t>BSc, 4. semester</w:t>
            </w:r>
          </w:p>
          <w:p w:rsidR="00C265CE" w:rsidRPr="009E5FF1" w:rsidRDefault="00E77B23" w:rsidP="00C275A3">
            <w:pPr>
              <w:pStyle w:val="Hallgatokepzes"/>
              <w:rPr>
                <w:b/>
                <w:caps/>
              </w:rPr>
            </w:pPr>
            <w:r>
              <w:t>Babeș-Bolyai University</w:t>
            </w:r>
            <w:r w:rsidR="00C275A3">
              <w:br/>
            </w:r>
            <w:r w:rsidR="00DB4822">
              <w:t>Faculty of Geography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Blanka Bartók, PhD student</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Efforts to Exploit Renewable Resources in Covasna County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presents detailed information about the renewable energy, trends in the European Union and their situations in Romania. In the next step I calculate the biomass, solar and wind energy potential in Covasna county, Romania. The biomass potential is estimated based on the method developed by Kazai Zsolt of the Ister-Granum Euroregion I will estimate on the basic of a method developed by Kazai Zsolt, for the quantification of the kinetic energy I use the WindSim windmaps modeling programme. The solar energy potencial is determined based on the PVGIS database. For some specific tasks of this work I also apply the GlobalMapper, ArcView and ArcGIS softwares. In addition, I use statistical data coming from the National Statistics Institute (INS) , from the Ministry of Environment and Forestry and from the Ministry of Agriculture and Rural Development, and also the Corin landcover database.</w:t>
      </w:r>
      <w:r>
        <w:rPr>
          <w:color w:val="000000"/>
          <w:sz w:val="24"/>
          <w:szCs w:val="24"/>
        </w:rPr>
        <w:br/>
        <w:t xml:space="preserve">The research will compare the energy produced from these three alternative energy sources. This way we will find out wich of these alternative energy sources has the higher potencial for explotation in Covasna county. This study will also summarize the current situation of the county regarding the efforts made in exploiting this green energy.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57519">
    <w:multiLevelType w:val="hybridMultilevel"/>
    <w:lvl w:ilvl="0" w:tplc="959045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57519">
    <w:abstractNumId w:val="886575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6033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