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VILLŐ HANGA JAKAB</w:t>
            </w:r>
          </w:p>
          <w:p w:rsidR="00C275A3" w:rsidRDefault="00A96AEC" w:rsidP="00C275A3">
            <w:pPr>
              <w:pStyle w:val="Hallgatokepzes"/>
            </w:pPr>
            <w:r>
              <w:t>Hungarian-Russian</w:t>
            </w:r>
            <w:r>
              <w:br/>
            </w:r>
            <w:r w:rsidR="00E77B23">
              <w:t>BA, 4. semester</w:t>
            </w:r>
          </w:p>
          <w:p w:rsidR="00C265CE" w:rsidRPr="009E5FF1" w:rsidRDefault="00E77B23" w:rsidP="00C275A3">
            <w:pPr>
              <w:pStyle w:val="Hallgatokepzes"/>
              <w:rPr>
                <w:b/>
                <w:caps/>
              </w:rPr>
            </w:pPr>
            <w:r>
              <w:t>Babeș-Bolyai University</w:t>
            </w:r>
            <w:r w:rsidR="00C275A3">
              <w:br/>
            </w:r>
            <w:r w:rsidR="00DB4822">
              <w:t>Faculty of Letters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 Selyem PhD</w:t>
            </w:r>
          </w:p>
          <w:p w:rsidR="00DB4822" w:rsidRDefault="00DB4822" w:rsidP="00E11062">
            <w:pPr>
              <w:pStyle w:val="Konzulensek"/>
            </w:pPr>
            <w:r w:rsidRPr="00DB4822">
              <w:t>professor assistant,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Borbély Szilárd's A Testhez. Ódák és legendák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Borbély Szilárd’s volume the body appears in two hypostases: as flesh, husk, material/substance, shape or form, which presumes or promises content (impersonally), and as Body, which bears something else other than itself, it is a (personal) realization of the body’s resolution. The visual-emotional impressions of death and birth, suffering and survival open those associative connections, which in some way, are linked to the body. The parallels and oppositions between body-images present the Body before and beyond reason, which can be the subject of legends and the addressed of odes.</w:t>
      </w:r>
      <w:r>
        <w:rPr>
          <w:color w:val="000000"/>
          <w:sz w:val="24"/>
          <w:szCs w:val="24"/>
        </w:rPr>
        <w:br/>
        <w:t xml:space="preserve">In my paper I separate two ways of the body becoming Body, emphasizing that the goal of this distinction is to reveal the unity of body and soul. The transition of the earthly body to the transcendent is realized in both cases through the epiphany of the soul: in the first case in the act of giving birth, in the tangency of birth and death, and in the second case through the language bore by the body.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76557">
    <w:multiLevelType w:val="hybridMultilevel"/>
    <w:lvl w:ilvl="0" w:tplc="987423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76557">
    <w:abstractNumId w:val="779765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28592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