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LÓRÁNT</w:t>
            </w:r>
          </w:p>
          <w:p w:rsidR="00C275A3" w:rsidRDefault="00A96AEC" w:rsidP="00C275A3">
            <w:pPr>
              <w:pStyle w:val="Hallgatokepzes"/>
            </w:pPr>
            <w:r>
              <w:t>Turizmus, Kereskedelem és Szolgáltatások Gazdaságtana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Mónika Anetta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Székelyföld vendéglátóegységeinek on-line marketingkommunikációs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Székelyföld vendéglátó egységeinek online marketingkommunikációs szokásai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Kutatás célja</w:t>
      </w:r>
      <w:r>
        <w:rPr>
          <w:color w:val="000000"/>
          <w:sz w:val="24"/>
          <w:szCs w:val="24"/>
        </w:rPr>
        <w:t xml:space="preserve">: Kutatásom célja, hogy felmérjem a székelyföld vendéglátó egységei által alkalmazott online marketingkommunikációs szokásokat. A felmérés során Hargita, Maros és Kovászna megyék turisztikai intézményeit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Módszertan/megközelítés: </w:t>
      </w:r>
      <w:r>
        <w:rPr>
          <w:color w:val="000000"/>
          <w:sz w:val="24"/>
          <w:szCs w:val="24"/>
        </w:rPr>
        <w:t xml:space="preserve">Az információk beszerzéséhez kvantitatív kutatást alkalmaztam és ezen belül, az online kérdőíves felmérés módszerét. A primer kutatás során összesen 65 megkérdezett vendéglátó egység adatait rögzitettem. A kutatás során használt statisztikai módszerek: asszociációs kapcsolat (Chi négyzet próba, Pearson-féle asszociációs együttható).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Eredmények/következtetések:</w:t>
      </w:r>
      <w:r>
        <w:rPr>
          <w:color w:val="000000"/>
          <w:sz w:val="24"/>
          <w:szCs w:val="24"/>
        </w:rPr>
        <w:t xml:space="preserve"> A székelyföldi vendéglátó egységek felismerték az internetes reklám és az online kommunikáció fontosságát de nem folytatnak tudatosan összehangolt online marketingkommunikációt.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Érték/Újdonság:</w:t>
      </w:r>
      <w:r>
        <w:rPr>
          <w:color w:val="000000"/>
          <w:sz w:val="24"/>
          <w:szCs w:val="24"/>
        </w:rPr>
        <w:t xml:space="preserve"> A kutatás megfelelő kiinduló pontként szolgálhat hasonló témájú kvantitatív-jellegű kutatásokhoz és fontos információkat nyújt más KKV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52520">
    <w:multiLevelType w:val="hybridMultilevel"/>
    <w:lvl w:ilvl="0" w:tplc="48161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52520">
    <w:abstractNumId w:val="43252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82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