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EROS LORANT</w:t>
            </w:r>
          </w:p>
          <w:p w:rsidR="00C275A3" w:rsidRDefault="00A96AEC" w:rsidP="00C275A3">
            <w:pPr>
              <w:pStyle w:val="Hallgatokepzes"/>
            </w:pPr>
            <w:r>
              <w:t>Business Administration in Tourism, Commerce and Services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Alt Monika Anetta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online marketing communication habits of hospitality units in Székely Land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online marketing communication habits of hospitality units in Székely Land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Purpose:</w:t>
      </w:r>
      <w:r>
        <w:rPr>
          <w:color w:val="000000"/>
          <w:sz w:val="24"/>
          <w:szCs w:val="24"/>
        </w:rPr>
        <w:t xml:space="preserve"> This study aims to achieve a better understanding the online communication habits of tourism institutions in Székely Land. In this survey I've studied tourism institutions located in Hargita, Maros and Kovászna counties.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Methodology/approach:</w:t>
      </w:r>
      <w:r>
        <w:rPr>
          <w:color w:val="000000"/>
          <w:sz w:val="24"/>
          <w:szCs w:val="24"/>
        </w:rPr>
        <w:t xml:space="preserve"> Both secondary and primary data are analyzed in order to understand the on-line marketing communication, the opportunities and challenges raised by on-line communication. A quantitative research is used to explore the on-line communication habits. Through the primary research 65 useable questionnaires were collected. Chi-square and Pearson's chi-squares is used to examine the hypotheses put forward in the study.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Findings:</w:t>
      </w:r>
      <w:r>
        <w:rPr>
          <w:color w:val="000000"/>
          <w:sz w:val="24"/>
          <w:szCs w:val="24"/>
        </w:rPr>
        <w:t xml:space="preserve"> The tourism institutions in Székely Land have recognized the importance of on-line advertising and communication but their on-line marketing activity is chaotic. Their communication isn't consciously coordinated.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Originality/value:</w:t>
      </w:r>
      <w:r>
        <w:rPr>
          <w:color w:val="000000"/>
          <w:sz w:val="24"/>
          <w:szCs w:val="24"/>
        </w:rPr>
        <w:t xml:space="preserve"> The paper provides a framework for similar quantitative researches and offers important information for other SME (Small and Medium Enterprises).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92642">
    <w:multiLevelType w:val="hybridMultilevel"/>
    <w:lvl w:ilvl="0" w:tplc="11620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92642">
    <w:abstractNumId w:val="474926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616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