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BOKOR</w:t>
            </w:r>
          </w:p>
          <w:p w:rsidR="00C275A3" w:rsidRDefault="00A96AEC" w:rsidP="00C275A3">
            <w:pPr>
              <w:pStyle w:val="Hallgatokepzes"/>
            </w:pPr>
            <w:r>
              <w:t>Finance</w:t>
            </w:r>
            <w:r>
              <w:br/>
            </w:r>
            <w:r w:rsidR="00E77B23">
              <w:t>BSc, 6. semester</w:t>
            </w:r>
          </w:p>
          <w:p w:rsidR="00C265CE" w:rsidRPr="009E5FF1" w:rsidRDefault="00E77B23" w:rsidP="00C275A3">
            <w:pPr>
              <w:pStyle w:val="Hallgatokepzes"/>
              <w:rPr>
                <w:b/>
                <w:caps/>
              </w:rPr>
            </w:pPr>
            <w:r>
              <w:t>Babes-Bolyai University</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Annamária Benyovszki </w:t>
            </w:r>
          </w:p>
          <w:p w:rsidR="00DB4822" w:rsidRDefault="00DB4822" w:rsidP="00E11062">
            <w:pPr>
              <w:pStyle w:val="Konzulensek"/>
            </w:pPr>
            <w:r w:rsidRPr="00DB4822">
              <w:t>  assistant 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the financial crisis on the efficiency and productivity of the romanian banks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purpose of this study is to investigate the efficiency and productivity of the romanian banks using the DEA methodology in the period of 2006-2009. The study investigates the determinants of the efficiency values too. The efficiency and the productivity of the romanian banks has improved in the years before the financial crisis, but in 2009 a slight decrease was observed in the efficiency and productivity values. Based on the results, the domestic banks and the small banks were affected the most by the financial crisis.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816782">
    <w:multiLevelType w:val="hybridMultilevel"/>
    <w:lvl w:ilvl="0" w:tplc="700201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816782">
    <w:abstractNumId w:val="548167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60587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