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NICOLETA JOITA</w:t>
            </w:r>
          </w:p>
          <w:p w:rsidR="00C275A3" w:rsidRDefault="00A96AEC" w:rsidP="00C275A3">
            <w:pPr>
              <w:pStyle w:val="Hallgatokepzes"/>
            </w:pPr>
            <w:r>
              <w:t>Finance and Banking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ZOLTÁN-KRISZTIÁN KARSAI</w:t>
            </w:r>
          </w:p>
          <w:p w:rsidR="00DB4822" w:rsidRDefault="00C275A3" w:rsidP="004D7940">
            <w:pPr>
              <w:pStyle w:val="Hallgatokepzes"/>
            </w:pPr>
            <w:r>
              <w:t>Corporate Financial Management</w:t>
            </w:r>
            <w:r w:rsidR="00A96AEC">
              <w:br/>
              <w:t>BSc, 4. semester</w:t>
            </w:r>
          </w:p>
          <w:p w:rsidR="00DB4822" w:rsidRDefault="00DB4822" w:rsidP="004D7940">
            <w:pPr>
              <w:pStyle w:val="Hallgatointezmeny-kar"/>
            </w:pPr>
            <w:r>
              <w:t>Babes-Bolyai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Economics and Business Administration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SÜVEG</w:t>
            </w:r>
          </w:p>
          <w:p w:rsidR="00C275A3" w:rsidRDefault="00A96AEC" w:rsidP="00C275A3">
            <w:pPr>
              <w:pStyle w:val="Hallgatokepzes"/>
            </w:pPr>
            <w:r>
              <w:t>Finance and Banking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Phd. Annamária Benyovszki</w:t>
            </w:r>
          </w:p>
          <w:p w:rsidR="00DB4822" w:rsidRDefault="00DB4822" w:rsidP="00E11062">
            <w:pPr>
              <w:pStyle w:val="Konzulensek"/>
            </w:pPr>
            <w:r w:rsidRPr="00DB4822">
              <w:t>lecturer,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Phd. Tünde Petra Petru</w:t>
            </w:r>
          </w:p>
          <w:p w:rsidR="00DB4822" w:rsidRDefault="00DB4822" w:rsidP="00E11062">
            <w:pPr>
              <w:pStyle w:val="Konzulensek"/>
            </w:pPr>
            <w:r w:rsidRPr="00DB4822">
              <w:t>lecturer,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Macroeconomic Variables and Romanian Corporate Default Rates Between 2002-2008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research is to assess the relationship between the corporate default rates and the macroeconomic processes in the case of Romania for the period comprised between 2002Q1-2008Q4. Similar to the banks’ loan portfolio structure, we conducted analysis for five sectors: industry, construction, agriculture, services and the overall economy. For each sector the average default probability at time t is modeled as a logistic function of many general and sector-specific macroeconomic variables.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80059">
    <w:multiLevelType w:val="hybridMultilevel"/>
    <w:lvl w:ilvl="0" w:tplc="30573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80059">
    <w:abstractNumId w:val="228800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944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