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LEHÓCZKI TÍMEA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Ősz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kémiai aktinometria alkalmazása diódasoros spektrofotométer, mint fotoreaktor kalibrálására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egy olyan, módosított aktinometriás módszert fejlesztettem ki, amely alkalmas viszonylag kis fényintenzitású fotoreaktor (esetemben diódasoros spektrofotométer) fotonáramának a meghatározására. A mérés során trisz-oxaláto-vas(III) fotokémiai bomlását követtem spektrofotometriás módszerrel. A mérés során a besugárzási idő beállításánál fontos, hogy a változás a teljes bomlási reakciónak mindössze néhány (max. 5-10) %-a legyen, ugyanakkor a változás már jól látszódjon. Ehhez a spektrofotométer, mint fotoreaktor alkalmazásánál 30 perces, míg a spektrállámpás méréseknél kb. 30 másodperces idő volt elegendő. A méréseket 390 nm-en követtük.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minta 1-1,5 mg K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[Fe(C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 (trisz-oxaláto-vas(III)-at) és 2,5 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0,050 mol/dm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kénsavat tartalmazott.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képződött vas(II) mennyiségét nem egy külön, dipiridiles vagy o-fenantrolinos komplexképzéses mérésben határoztam meg, hanem a trisz-oxaláto-vas(III) mintában 390 nm-en bekövetkező abszorbanciacsökkenés alapján: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Fe(II) koncenctráció = ΔA(390 nm)/357,44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 előnye, hogy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szükséges külön mérésben meghatározni a képződött vas(II)-t,a környezetből, minta előkészítés során bekerülő fény nem okoz hibát (a fotométerben lévő mintát – hacsak nem szándékosan világítom meg felülről – csak a spektrofotométer fénye éri a mérés ideje alatt),az idő mérését szintén a spektrofotométer végzi kinetika üzemmódban.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módszerrel meghatároztam egy AnalytikJena diódasoros spektrofotométer által egy 1 cm-es úthosszú küvettába kibocsátott fotonáramot 190-1100 nm között, azaz a fotométer teljes működési tartományában, illetve egy, a mintát felülről megvilágító spektrállámpa fotonáramát 365 nm-en. Ennek értéke a fotométerben található lámpák teljes hullámhossztartományára összegezve 1,7∙10</w:t>
      </w:r>
      <w:r>
        <w:rPr>
          <w:color w:val="000000"/>
          <w:position w:val="4"/>
          <w:sz w:val="21"/>
          <w:szCs w:val="21"/>
          <w:vertAlign w:val="superscript"/>
        </w:rPr>
        <w:t xml:space="preserve">15</w:t>
      </w:r>
      <w:r>
        <w:rPr>
          <w:color w:val="000000"/>
          <w:sz w:val="24"/>
          <w:szCs w:val="24"/>
        </w:rPr>
        <w:t xml:space="preserve"> foton/s, a spektrállámpával bemutatott elrendezésében pedig ez az érték 9,274∙10</w:t>
      </w:r>
      <w:r>
        <w:rPr>
          <w:color w:val="000000"/>
          <w:position w:val="4"/>
          <w:sz w:val="21"/>
          <w:szCs w:val="21"/>
          <w:vertAlign w:val="superscript"/>
        </w:rPr>
        <w:t xml:space="preserve">15</w:t>
      </w:r>
      <w:r>
        <w:rPr>
          <w:color w:val="000000"/>
          <w:sz w:val="24"/>
          <w:szCs w:val="24"/>
        </w:rPr>
        <w:t xml:space="preserve"> foton/s 365 nm-en.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16293">
    <w:multiLevelType w:val="hybridMultilevel"/>
    <w:lvl w:ilvl="0" w:tplc="991719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16293">
    <w:abstractNumId w:val="431162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3265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