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LEHÓCZKI</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Ősz</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Ferrioxalate actinometry with online spectrophotometric detection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best methods to study the stoichiometries of photochemical reactions are those that provide a continuous monitoring of the changes e.g. by measuring the spectral changes in the UV-Vis region. Although the light of a diode array spectrophotometer or other lamp (UV lamp, LED…) is not intense enough to generate the excited state in measurable quantities, it is enough to drive reactions, thus diode array spectrophotometers with spectrophotometric detection are useful tools for these measurements. However, their illuminating light intensities need to be calibrated. The classical ferrioxalate actinometric method uses a separate complexation and spectrophotometric steps to determine the concentration of the Fe(II) formed during illumination. Decomposition of ferrioxalate is also accompanied by reproducible spectral changes, which are measured if the above mentioned techniques are used. This renders complexation and spectrophotometric Fe(II) concentration determination unnecessary.</w:t>
      </w:r>
    </w:p>
    <w:p>
      <w:pPr>
        <w:pBdr/>
        <w:spacing w:before="240" w:after="240" w:line="240" w:lineRule="auto"/>
        <w:ind w:left="0" w:right="0"/>
        <w:jc w:val="left"/>
      </w:pPr>
      <w:r>
        <w:rPr>
          <w:color w:val="000000"/>
          <w:sz w:val="24"/>
          <w:szCs w:val="24"/>
        </w:rPr>
        <w:t xml:space="preserve">We developed a simplified actinometric method in order to calibrate photoreactors of different arrangements. Unlike the classical ferrioxalate actinometric method, this modified technique is feasible to determine the photon flux of the driving light beam without a separate Fe(II) analysis step and with smaller relative error by following the absorbance changes in the ferrioxalate solution online at a selected wavelength. The sample used for the determination is as follows: 1-1.5 mg K</w:t>
      </w:r>
      <w:r>
        <w:rPr>
          <w:color w:val="000000"/>
          <w:position w:val="-4"/>
          <w:sz w:val="21"/>
          <w:szCs w:val="21"/>
          <w:vertAlign w:val="subscript"/>
        </w:rPr>
        <w:t xml:space="preserve">3</w:t>
      </w:r>
      <w:r>
        <w:rPr>
          <w:color w:val="000000"/>
          <w:sz w:val="24"/>
          <w:szCs w:val="24"/>
        </w:rPr>
        <w:t xml:space="preserve">[Fe(C</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4</w:t>
      </w:r>
      <w:r>
        <w:rPr>
          <w:color w:val="000000"/>
          <w:sz w:val="24"/>
          <w:szCs w:val="24"/>
        </w:rPr>
        <w:t xml:space="preserve">)</w:t>
      </w:r>
      <w:r>
        <w:rPr>
          <w:color w:val="000000"/>
          <w:position w:val="-4"/>
          <w:sz w:val="21"/>
          <w:szCs w:val="21"/>
          <w:vertAlign w:val="subscript"/>
        </w:rPr>
        <w:t xml:space="preserve">3</w:t>
      </w:r>
      <w:r>
        <w:rPr>
          <w:color w:val="000000"/>
          <w:sz w:val="24"/>
          <w:szCs w:val="24"/>
        </w:rPr>
        <w:t xml:space="preserve">] in 2.5 ml 0.05 M concentration H</w:t>
      </w:r>
      <w:r>
        <w:rPr>
          <w:color w:val="000000"/>
          <w:position w:val="-4"/>
          <w:sz w:val="21"/>
          <w:szCs w:val="21"/>
          <w:vertAlign w:val="subscript"/>
        </w:rPr>
        <w:t xml:space="preserve">2</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 solution. The concenatrion of Fe(II) formed during illumination is calculated from the absorbance change at 390 nm: c</w:t>
      </w:r>
      <w:r>
        <w:rPr>
          <w:color w:val="000000"/>
          <w:position w:val="-4"/>
          <w:sz w:val="21"/>
          <w:szCs w:val="21"/>
          <w:vertAlign w:val="subscript"/>
        </w:rPr>
        <w:t xml:space="preserve">Fe(II)</w:t>
      </w:r>
      <w:r>
        <w:rPr>
          <w:color w:val="000000"/>
          <w:sz w:val="24"/>
          <w:szCs w:val="24"/>
        </w:rPr>
        <w:t xml:space="preserve"> = DA(390 nm)/357.44</w:t>
      </w:r>
    </w:p>
    <w:p>
      <w:pPr>
        <w:pBdr/>
        <w:spacing w:before="240" w:after="240" w:line="240" w:lineRule="auto"/>
        <w:ind w:left="0" w:right="0"/>
        <w:jc w:val="left"/>
      </w:pPr>
      <w:r>
        <w:rPr>
          <w:color w:val="000000"/>
          <w:sz w:val="24"/>
          <w:szCs w:val="24"/>
        </w:rPr>
        <w:t xml:space="preserve">The method can be used for both polychromatic and monochromatic illuminating light sources. The technique is suitable for calibrating the light sources of diode array spectrophotometers used as photochemical reactors as well as photoreactors using external light sources and online spectrophotometric detection. The relative error of the developed actinometric method is smaller than that of the classical actinometry.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68696">
    <w:multiLevelType w:val="hybridMultilevel"/>
    <w:lvl w:ilvl="0" w:tplc="45525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68696">
    <w:abstractNumId w:val="82268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770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