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KLEIN</w:t>
            </w:r>
          </w:p>
          <w:p w:rsidR="00C275A3" w:rsidRDefault="00A96AEC" w:rsidP="00C275A3">
            <w:pPr>
              <w:pStyle w:val="Hallgatokepzes"/>
            </w:pPr>
            <w:r>
              <w:t>horticultural engineer</w:t>
            </w:r>
            <w:r>
              <w:br/>
            </w:r>
            <w:r w:rsidR="00E77B23">
              <w:t>MSc, 1. semester</w:t>
            </w:r>
          </w:p>
          <w:p w:rsidR="00C265CE" w:rsidRPr="009E5FF1" w:rsidRDefault="00E77B23" w:rsidP="00C275A3">
            <w:pPr>
              <w:pStyle w:val="Hallgatokepzes"/>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Dr:Endre Pölös</w:t>
            </w:r>
          </w:p>
          <w:p w:rsidR="00DB4822" w:rsidRDefault="00DB4822" w:rsidP="00E11062">
            <w:pPr>
              <w:pStyle w:val="Konzulensek"/>
            </w:pPr>
            <w:r w:rsidRPr="00DB4822">
              <w:t>Associate Professor,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Removal of enviromentally polluting heavy metals from soil by plants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Removal of environmentally polluting heavy metals from soil by plants</w:t>
      </w: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Phytoremediation and a complex experiment, in which I myself took part, is presented in this paper work. The thesis of phytoremediation processes is presented in the introductions chapter.</w:t>
      </w:r>
    </w:p>
    <w:p>
      <w:pPr>
        <w:pBdr/>
        <w:spacing w:before="240" w:after="240" w:line="240" w:lineRule="auto"/>
        <w:ind w:left="0" w:right="0"/>
        <w:jc w:val="left"/>
      </w:pPr>
      <w:r>
        <w:rPr>
          <w:color w:val="000000"/>
          <w:sz w:val="24"/>
          <w:szCs w:val="24"/>
        </w:rPr>
        <w:t xml:space="preserve">The more important publications are detailed in the literature review on the subject. In the 2.1-subchapter the research project is presented in which I took part. Also, I present the project's goal, the international situation of phytoremediation processes, the overview of applied technology and a symbolic representation of the application.</w:t>
      </w:r>
    </w:p>
    <w:p>
      <w:pPr>
        <w:pBdr/>
        <w:spacing w:before="240" w:after="240" w:line="240" w:lineRule="auto"/>
        <w:ind w:left="0" w:right="0"/>
        <w:jc w:val="left"/>
      </w:pPr>
      <w:r>
        <w:rPr>
          <w:color w:val="000000"/>
          <w:sz w:val="24"/>
          <w:szCs w:val="24"/>
        </w:rPr>
        <w:t xml:space="preserve">2.2 Presentation of the consortium</w:t>
      </w:r>
    </w:p>
    <w:p>
      <w:pPr>
        <w:pBdr/>
        <w:spacing w:before="240" w:after="240" w:line="240" w:lineRule="auto"/>
        <w:ind w:left="0" w:right="0"/>
        <w:jc w:val="left"/>
      </w:pPr>
      <w:r>
        <w:rPr>
          <w:color w:val="000000"/>
          <w:sz w:val="24"/>
          <w:szCs w:val="24"/>
        </w:rPr>
        <w:t xml:space="preserve">3. Materials and methods. In this chapter I present the work of Aquadukt ltd within the consortium, the share of responsibilities of consortium members and parcel of the installed plants, the incineration technology of contaminated plant. As an applied experiment our task was to extract contaminated sludge, construction of experimental plots, upload of storage cartridges with dried sludge, planting, phytotechnical works, plant extraction.</w:t>
      </w:r>
    </w:p>
    <w:p>
      <w:pPr>
        <w:pBdr/>
        <w:spacing w:before="240" w:after="240" w:line="240" w:lineRule="auto"/>
        <w:ind w:left="0" w:right="0"/>
        <w:jc w:val="left"/>
      </w:pPr>
      <w:r>
        <w:rPr>
          <w:color w:val="000000"/>
          <w:sz w:val="24"/>
          <w:szCs w:val="24"/>
        </w:rPr>
        <w:t xml:space="preserve">4. Results and discussion. Presentation of similar Hungarian experiments.</w:t>
      </w:r>
    </w:p>
    <w:p>
      <w:pPr>
        <w:pBdr/>
        <w:spacing w:before="240" w:after="240" w:line="240" w:lineRule="auto"/>
        <w:ind w:left="0" w:right="0"/>
        <w:jc w:val="left"/>
      </w:pPr>
      <w:r>
        <w:rPr>
          <w:color w:val="000000"/>
          <w:sz w:val="24"/>
          <w:szCs w:val="24"/>
        </w:rPr>
        <w:t xml:space="preserve">5. Conclusions, suggestions. Comparison of experiments and tests carried out by the consortium presented in the previous chapter, the experience gained in the application of new jobs.</w:t>
      </w:r>
    </w:p>
    <w:p>
      <w:pPr>
        <w:pBdr/>
        <w:spacing w:before="240" w:after="240" w:line="240" w:lineRule="auto"/>
        <w:ind w:left="0" w:right="0"/>
        <w:jc w:val="left"/>
      </w:pPr>
      <w:r>
        <w:rPr>
          <w:color w:val="000000"/>
          <w:sz w:val="24"/>
          <w:szCs w:val="24"/>
        </w:rPr>
        <w:t xml:space="preserve">6. Summary. The evaluation of project work.</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Tolna 2011-11-01                                                                                              Antal Klein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02905">
    <w:multiLevelType w:val="hybridMultilevel"/>
    <w:lvl w:ilvl="0" w:tplc="39207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02905">
    <w:abstractNumId w:val="40902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7791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