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ILYÉS</w:t>
            </w:r>
          </w:p>
          <w:p w:rsidR="00C275A3" w:rsidRDefault="00A96AEC" w:rsidP="00C275A3">
            <w:pPr>
              <w:pStyle w:val="Hallgatokepzes"/>
            </w:pPr>
            <w:r>
              <w:t>BA in Internation Business Administration</w:t>
            </w:r>
            <w:r>
              <w:br/>
            </w:r>
            <w:r w:rsidR="00E77B23">
              <w:t>BA, 3.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Ferkelt</w:t>
            </w:r>
          </w:p>
          <w:p w:rsidR="00DB4822" w:rsidRDefault="00DB4822" w:rsidP="00E11062">
            <w:pPr>
              <w:pStyle w:val="Konzulensek"/>
            </w:pPr>
            <w:r w:rsidRPr="00DB4822">
              <w:t>associate professor, BGF KKK</w:t>
            </w:r>
          </w:p>
        </w:tc>
      </w:tr>
      <w:tr w:rsidR="00DB4822" w:rsidTr="00DB4822">
        <w:tc>
          <w:tcPr>
            <w:tcW w:w="9854" w:type="dxa"/>
          </w:tcPr>
          <w:p w:rsidR="00DB4822" w:rsidRPr="00DB4822" w:rsidRDefault="00DB4822" w:rsidP="004D7940">
            <w:pPr>
              <w:pStyle w:val="Konzulensek"/>
            </w:pPr>
            <w:r w:rsidRPr="00DB4822">
              <w:t>Dr. Emese Ilyés-Molnár</w:t>
            </w:r>
          </w:p>
          <w:p w:rsidR="00DB4822" w:rsidRDefault="00DB4822" w:rsidP="00E11062">
            <w:pPr>
              <w:pStyle w:val="Konzulensek"/>
            </w:pPr>
            <w:r w:rsidRPr="00DB4822">
              <w:t>associate 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efficiency of the European Structural and Cohesion Fund based on computable models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research paper I analyse the effect of the European Cohesion Fund with general equilibrium models.</w:t>
      </w:r>
    </w:p>
    <w:p>
      <w:pPr>
        <w:pBdr/>
        <w:spacing w:before="240" w:after="240" w:line="240" w:lineRule="auto"/>
        <w:ind w:left="0" w:right="0"/>
        <w:jc w:val="left"/>
      </w:pPr>
      <w:r>
        <w:rPr>
          <w:color w:val="000000"/>
          <w:sz w:val="24"/>
          <w:szCs w:val="24"/>
        </w:rPr>
        <w:t xml:space="preserve">The significance of the Regional Policy – what makes up large part of the European Union’s budget – has grown in the last decades. For the new member countries these transfers mean the only non-market opportunities for the acceleration of their convergence, but for the developed western members this means a significant amount of contribution to the common budget to finance these transfers.</w:t>
      </w:r>
    </w:p>
    <w:p>
      <w:pPr>
        <w:pBdr/>
        <w:spacing w:before="240" w:after="240" w:line="240" w:lineRule="auto"/>
        <w:ind w:left="0" w:right="0"/>
        <w:jc w:val="left"/>
      </w:pPr>
      <w:r>
        <w:rPr>
          <w:color w:val="000000"/>
          <w:sz w:val="24"/>
          <w:szCs w:val="24"/>
        </w:rPr>
        <w:t xml:space="preserve">In the last decade the developing countries, the main recipients of these transfers have created numerous models to prove that the subsidies are in fact needed and they are effective. For the comparison in European level the European Commission has also created its macro economic model to evaluate EU policies ex post and ex ante.</w:t>
      </w:r>
    </w:p>
    <w:p>
      <w:pPr>
        <w:pBdr/>
        <w:spacing w:before="240" w:after="240" w:line="240" w:lineRule="auto"/>
        <w:ind w:left="0" w:right="0"/>
        <w:jc w:val="left"/>
      </w:pPr>
      <w:r>
        <w:rPr>
          <w:color w:val="000000"/>
          <w:sz w:val="24"/>
          <w:szCs w:val="24"/>
        </w:rPr>
        <w:t xml:space="preserve">In my research I analysed the question that how can be the effect of these subsidies evaluated, computed and quantified. In analysed and compared the different models used by economists to quantify these effects. In my paper I described the models, their structures and their used conditions and also the possible causes of their different results.</w:t>
      </w:r>
    </w:p>
    <w:p>
      <w:pPr>
        <w:pBdr/>
        <w:spacing w:before="240" w:after="240" w:line="240" w:lineRule="auto"/>
        <w:ind w:left="0" w:right="0"/>
        <w:jc w:val="left"/>
      </w:pPr>
      <w:r>
        <w:rPr>
          <w:color w:val="000000"/>
          <w:sz w:val="24"/>
          <w:szCs w:val="24"/>
        </w:rPr>
        <w:t xml:space="preserve">I described three different models which were used in the last decade to compute these effects, the originally Irish HERMIN model, the model of the European Commission, which contains the entire European Union, the QUEST III and a specifically Hungarian model, the GMR.</w:t>
      </w:r>
    </w:p>
    <w:p>
      <w:pPr>
        <w:pBdr/>
        <w:spacing w:before="240" w:after="240" w:line="240" w:lineRule="auto"/>
        <w:ind w:left="0" w:right="0"/>
        <w:jc w:val="left"/>
      </w:pPr>
      <w:r>
        <w:rPr>
          <w:color w:val="000000"/>
          <w:sz w:val="24"/>
          <w:szCs w:val="24"/>
        </w:rPr>
        <w:t xml:space="preserve">In my research I drew the conclusion that the conditions of the QUEST III are the most plausible and acceptable, but the country-specific structure of the HERMIN also provides important information regarding these effects. Based on these models it can be stated that in the period between 2007 and 2013 the Regional Policy contribute by 4 % to the GDP growth in Hungary, but the subsidies are less effective than in the other developing member states.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84870">
    <w:multiLevelType w:val="hybridMultilevel"/>
    <w:lvl w:ilvl="0" w:tplc="762164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84870">
    <w:abstractNumId w:val="135848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78568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