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BENCSIK</w:t>
            </w:r>
          </w:p>
          <w:p w:rsidR="00C275A3" w:rsidRDefault="00A96AEC" w:rsidP="00C275A3">
            <w:pPr>
              <w:pStyle w:val="Hallgatokepzes"/>
            </w:pPr>
            <w:r>
              <w:t>Commerce and marketing </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ROLAND GYÖRGY BOKOR</w:t>
            </w:r>
          </w:p>
          <w:p w:rsidR="00DB4822" w:rsidRDefault="00C275A3" w:rsidP="004D7940">
            <w:pPr>
              <w:pStyle w:val="Hallgatokepzes"/>
            </w:pPr>
            <w:r>
              <w:t>Commerce and Marketing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Medvéné dr. Szabad</w:t>
            </w:r>
          </w:p>
          <w:p w:rsidR="00DB4822" w:rsidRDefault="00DB4822" w:rsidP="00E11062">
            <w:pPr>
              <w:pStyle w:val="Konzulensek"/>
            </w:pPr>
            <w:r w:rsidRPr="00DB4822">
              <w:t>Professor, BGF educational assistant rector,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contradictions of frugality and wasting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Bencsik Vivien and Bokor György Roland</w:t>
      </w:r>
    </w:p>
    <w:p>
      <w:pPr>
        <w:widowControl w:val="on"/>
        <w:pBdr/>
        <w:spacing w:before="240" w:after="240" w:line="240" w:lineRule="auto"/>
        <w:ind w:left="0" w:right="0"/>
        <w:jc w:val="left"/>
      </w:pPr>
      <w:r>
        <w:rPr>
          <w:color w:val="000000"/>
          <w:sz w:val="24"/>
          <w:szCs w:val="24"/>
        </w:rPr>
        <w:t xml:space="preserve">IV. year</w:t>
      </w:r>
    </w:p>
    <w:p>
      <w:pPr>
        <w:widowControl w:val="on"/>
        <w:pBdr/>
        <w:spacing w:before="240" w:after="240" w:line="240" w:lineRule="auto"/>
        <w:ind w:left="0" w:right="0"/>
        <w:jc w:val="left"/>
      </w:pPr>
      <w:r>
        <w:rPr>
          <w:color w:val="000000"/>
          <w:sz w:val="24"/>
          <w:szCs w:val="24"/>
        </w:rPr>
        <w:t xml:space="preserve">Commerce and Marketing</w:t>
      </w:r>
    </w:p>
    <w:p>
      <w:pPr>
        <w:widowControl w:val="on"/>
        <w:pBdr/>
        <w:spacing w:before="240" w:after="240" w:line="240" w:lineRule="auto"/>
        <w:ind w:left="0" w:right="0"/>
        <w:jc w:val="left"/>
      </w:pPr>
      <w:r>
        <w:rPr>
          <w:color w:val="000000"/>
          <w:sz w:val="24"/>
          <w:szCs w:val="24"/>
        </w:rPr>
        <w:t xml:space="preserve">Budapest Bussiness School (Budapesti Gazdasági Főiskola)</w:t>
      </w:r>
    </w:p>
    <w:p>
      <w:pPr>
        <w:widowControl w:val="on"/>
        <w:pBdr/>
        <w:spacing w:before="240" w:after="240" w:line="240" w:lineRule="auto"/>
        <w:ind w:left="0" w:right="0"/>
        <w:jc w:val="left"/>
      </w:pPr>
      <w:r>
        <w:rPr>
          <w:color w:val="000000"/>
          <w:sz w:val="24"/>
          <w:szCs w:val="24"/>
        </w:rPr>
        <w:t xml:space="preserve">Consultant: Medvéné Dr. Szabad Katalin</w:t>
      </w:r>
    </w:p>
    <w:p>
      <w:pPr>
        <w:widowControl w:val="on"/>
        <w:pBdr/>
        <w:spacing w:before="240" w:after="240" w:line="240" w:lineRule="auto"/>
        <w:ind w:left="0" w:right="0"/>
        <w:jc w:val="left"/>
      </w:pPr>
      <w:r>
        <w:rPr>
          <w:color w:val="000000"/>
          <w:sz w:val="24"/>
          <w:szCs w:val="24"/>
        </w:rPr>
        <w:t xml:space="preserve">Professor, BGF educational assistant rector</w:t>
      </w:r>
    </w:p>
    <w:p>
      <w:pPr>
        <w:widowControl w:val="on"/>
        <w:pBdr/>
        <w:spacing w:before="240" w:after="240" w:line="240" w:lineRule="auto"/>
        <w:ind w:left="0" w:right="0"/>
        <w:jc w:val="left"/>
      </w:pPr>
      <w:r>
        <w:rPr>
          <w:color w:val="000000"/>
          <w:sz w:val="24"/>
          <w:szCs w:val="24"/>
        </w:rPr>
        <w:t xml:space="preserve">The contradictions of frugality and wasting</w:t>
      </w:r>
    </w:p>
    <w:p>
      <w:pPr>
        <w:widowControl w:val="on"/>
        <w:pBdr/>
        <w:spacing w:before="240" w:after="240" w:line="240" w:lineRule="auto"/>
        <w:ind w:left="0" w:right="0"/>
        <w:jc w:val="left"/>
      </w:pPr>
      <w:r>
        <w:rPr>
          <w:color w:val="000000"/>
          <w:sz w:val="24"/>
          <w:szCs w:val="24"/>
        </w:rPr>
        <w:t xml:space="preserve">In our dissertation we are eager to explore the global problems related to wasting and sparing, by the viewpoint of natural resources, food and energy consumption, comparing the different habitats of the world. We attemped to summarize and compare the available data on the widest spectrum by concluding the observed patterns.</w:t>
      </w:r>
    </w:p>
    <w:p>
      <w:pPr>
        <w:widowControl w:val="on"/>
        <w:pBdr/>
        <w:spacing w:before="240" w:after="240" w:line="240" w:lineRule="auto"/>
        <w:ind w:left="0" w:right="0"/>
        <w:jc w:val="left"/>
      </w:pPr>
      <w:r>
        <w:rPr>
          <w:color w:val="000000"/>
          <w:sz w:val="24"/>
          <w:szCs w:val="24"/>
        </w:rPr>
        <w:t xml:space="preserve">As an introduction we clarify the concepts of sustainable developement and ecological footprint and introduced their importance regarding our work. After this we proceed to the notions of frugality and wasting, analysing them from various angles and discussing their manifestation in consumer behaviour. We studied this behaviour pattern’s roots, regarding the cultural, philosophal, historical, economical point of view. Then we present these consumer behaviours’ ecological importance and impact. Afterwards construed the situation of our world’s wasting lifestyle and the consumption rates through economical inequivalences.</w:t>
      </w:r>
    </w:p>
    <w:p>
      <w:pPr>
        <w:widowControl w:val="on"/>
        <w:pBdr/>
        <w:spacing w:before="240" w:after="240" w:line="240" w:lineRule="auto"/>
        <w:ind w:left="0" w:right="0"/>
        <w:jc w:val="left"/>
      </w:pPr>
      <w:r>
        <w:rPr>
          <w:color w:val="000000"/>
          <w:sz w:val="24"/>
          <w:szCs w:val="24"/>
        </w:rPr>
        <w:t xml:space="preserve">Subsequently we discuss the problems of such topics as food-, energy-, water wastage, then we present efficiency contingencies.</w:t>
      </w:r>
    </w:p>
    <w:p>
      <w:pPr>
        <w:widowControl w:val="on"/>
        <w:pBdr/>
        <w:spacing w:before="240" w:after="240" w:line="240" w:lineRule="auto"/>
        <w:ind w:left="0" w:right="0"/>
        <w:jc w:val="left"/>
      </w:pPr>
      <w:r>
        <w:rPr>
          <w:color w:val="000000"/>
          <w:sz w:val="24"/>
          <w:szCs w:val="24"/>
        </w:rPr>
        <w:t xml:space="preserve">Regarding food wasteage we separately introduced the tendencies of developed and developing countries, especially regarding the disproportions of the food chain.</w:t>
      </w:r>
    </w:p>
    <w:p>
      <w:pPr>
        <w:widowControl w:val="on"/>
        <w:pBdr/>
        <w:spacing w:before="240" w:after="240" w:line="240" w:lineRule="auto"/>
        <w:ind w:left="0" w:right="0"/>
        <w:jc w:val="left"/>
      </w:pPr>
      <w:r>
        <w:rPr>
          <w:color w:val="000000"/>
          <w:sz w:val="24"/>
          <w:szCs w:val="24"/>
        </w:rPr>
        <w:t xml:space="preserve">Later we analysed the situation of Hungary and the importance and potential of food sparing in our country’s life.</w:t>
      </w:r>
    </w:p>
    <w:p>
      <w:pPr>
        <w:widowControl w:val="on"/>
        <w:pBdr/>
        <w:spacing w:before="240" w:after="240" w:line="240" w:lineRule="auto"/>
        <w:ind w:left="0" w:right="0"/>
        <w:jc w:val="left"/>
      </w:pPr>
      <w:r>
        <w:rPr>
          <w:color w:val="000000"/>
          <w:sz w:val="24"/>
          <w:szCs w:val="24"/>
        </w:rPr>
        <w:t xml:space="preserve">In the matter of energy wasteage we used a similar method as described in the previous chapters, diferring in the depth of detail.</w:t>
      </w:r>
    </w:p>
    <w:p>
      <w:pPr>
        <w:widowControl w:val="on"/>
        <w:pBdr/>
        <w:spacing w:before="240" w:after="240" w:line="240" w:lineRule="auto"/>
        <w:ind w:left="0" w:right="0"/>
        <w:jc w:val="left"/>
      </w:pPr>
      <w:r>
        <w:rPr>
          <w:color w:val="000000"/>
          <w:sz w:val="24"/>
          <w:szCs w:val="24"/>
        </w:rPr>
        <w:t xml:space="preserve">As the third, major part of wasefulness we emphasized the wasteage of water, and demonstrated the nature of today’s water market, some forecasts about the future of it, then expounded the water wasteage’s „distribution”, and role regarding the food chain and the energy sector.</w:t>
      </w:r>
    </w:p>
    <w:p>
      <w:pPr>
        <w:widowControl w:val="on"/>
        <w:pBdr/>
        <w:spacing w:before="240" w:after="240" w:line="240" w:lineRule="auto"/>
        <w:ind w:left="0" w:right="0"/>
        <w:jc w:val="left"/>
      </w:pPr>
      <w:r>
        <w:rPr>
          <w:color w:val="000000"/>
          <w:sz w:val="24"/>
          <w:szCs w:val="24"/>
        </w:rPr>
        <w:t xml:space="preserve">As closing our paper we explicate our personal opinion about the topic and evaluate the wholeness of our presentation, regarding our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77378">
    <w:multiLevelType w:val="hybridMultilevel"/>
    <w:lvl w:ilvl="0" w:tplc="98361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77378">
    <w:abstractNumId w:val="63077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297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