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NELLI</w:t>
            </w:r>
          </w:p>
          <w:p w:rsidR="00C275A3" w:rsidRDefault="00A96AEC" w:rsidP="00C275A3">
            <w:pPr>
              <w:pStyle w:val="Hallgatokepzes"/>
            </w:pPr>
            <w:r>
              <w:t>Képi ábrázolás-Építészetí síküveg szakirány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Keve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SZTE-JGYPK Rajz -művészettörténet Tanszék-Lépcsőházi ablak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 Az első ember, akit megpillantottam az utcán, ​​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üveges volt. … ​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– Hé! hé! – kiáltottam neki, hogy jöjjön fel. ​​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Végre megjelent: én kíváncsian átvizsgáltam minden üvegét, és így szóltam: ​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– Hogyhogy? Színes üvege nincs? Nincs rózsaszín, piros, kék ablaküvege, bűvös üvege, paradicsomi üvege? Arcátlan egy alak! Itt merészkedik sétálni a szegény városnegyedekben, és még csak egy olyan ablaka sincs, amelyik szépnek mutatja az életet?” /Baudelaire: A rossz üveges/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Ólmozott üvegmunkáimban a látványt egyszerű technikai, grafikai eszközökkel teszem többrendbelivé, törekedve egy sajátos, jellemző képi, hangulati világ kialakítására, kihasználva az üveg önmagában való látványosságát. Maga a transzparencia és az üveg anyagának szeretete pszichológiai háttérrel is rendelkezik. A belső bizonytalanságokat és biztos pontokat is magában foglalja, illetve az anyag szellemi hátterének is különleges aktualitása van. Manapság a világban egy látszólagos transzparencia uralkodik. Jean Baudillard: A tárgyak rendszere című munkájában szemléletesen írja le az üveg jelentőségét: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„...nem is tartály, hanem elválasztó, egy szilárd fluidum, azaz egy tartalmazó tartalom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csodája, s ezáltal létrehozója mindkettőjük átlátszóságának: meghaladása annak, amiről azt mondtuk,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a hangulat legelső követelménye. Másrészt az üvegben egyszerre van jelen egy másodlagos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állapot szimbolikája, valamint az anyag nullfokának szimbolikája. A megfagyás, vagyis az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absztrakció szimbolikája. Ez az absztrakció vezet el a belső világ absztrakciójához…”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53413">
    <w:multiLevelType w:val="hybridMultilevel"/>
    <w:lvl w:ilvl="0" w:tplc="28925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53413">
    <w:abstractNumId w:val="24353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444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