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JUDIT BORSI</w:t>
            </w:r>
          </w:p>
          <w:p w:rsidR="00C275A3" w:rsidRDefault="00A96AEC" w:rsidP="00C275A3">
            <w:pPr>
              <w:pStyle w:val="Hallgatokepzes"/>
            </w:pPr>
            <w:r>
              <w:t>Visual reprezentation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Ferenc Szekeres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Birds I-II / Madarak I-II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poster is a selection of existing theaters were built. Artistic Endre Birds.</w:t>
      </w:r>
      <w:r>
        <w:rPr>
          <w:color w:val="000000"/>
          <w:sz w:val="24"/>
          <w:szCs w:val="24"/>
        </w:rPr>
        <w:br/>
        <w:t xml:space="preserve">The instrument consists of two parts. The poster itself is one of them (I Birds), on the other side of a board reklámkippszerű Stoyan (Birds II.). The theatrical poster made ​​from a photograph. The birds are manually created. This is based on the story board, where the performance of its idiom interiors, scenes, evokes the atmosphere. The play is a comedy, and the characters are comical.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307272">
    <w:multiLevelType w:val="hybridMultilevel"/>
    <w:lvl w:ilvl="0" w:tplc="634235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307272">
    <w:abstractNumId w:val="163072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22598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