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ESZTER</w:t>
            </w:r>
          </w:p>
          <w:p w:rsidR="00C275A3" w:rsidRDefault="00A96AEC" w:rsidP="00C275A3">
            <w:pPr>
              <w:pStyle w:val="Hallgatokepzes"/>
            </w:pPr>
            <w:r>
              <w:t>Képi Ábrázolás Alapszakos (Festészet)</w:t>
            </w:r>
            <w:r>
              <w:br/>
            </w:r>
            <w:r w:rsidR="00E77B23">
              <w:t>BA,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Gál Lehel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Medúza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OTDK MŰVÉSZETI ÉS MŰVÉSZETTUDOMÁNYI SZEKCIÓ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Térbeli művészeti tagozat (Murális művészet)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TÓTH ESZTER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SZTE JGYPK Rajz-művészettörténet Tanszék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Képi ábrázolás 4. évfolyam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GÁL LEHEL, Festőművész, Adjunktus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MEDÚZA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35 x 70, mozaik, vegyes, 2011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Dokumentációm célja, az alkotói folyamat bemutatása. Milyen módon érkeztem a mozaikhoz, illetve ennek a munkának a megalkotásához. Ezen előzmények boncolgatásával, művészettörténeti murális témák segítségével mutatnám be mozaikomat. Végezetül pedig az alkotási folyamat továbbgondolása.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407875">
    <w:multiLevelType w:val="hybridMultilevel"/>
    <w:lvl w:ilvl="0" w:tplc="272382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407875">
    <w:abstractNumId w:val="894078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89130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