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PELYHE</w:t>
            </w:r>
          </w:p>
          <w:p w:rsidR="00C275A3" w:rsidRDefault="00A96AEC" w:rsidP="00C275A3">
            <w:pPr>
              <w:pStyle w:val="Hallgatokepzes"/>
            </w:pPr>
            <w:r>
              <w:t>MSc in Ecotoxicology</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Imre Csenki</w:t>
            </w:r>
          </w:p>
          <w:p w:rsidR="00DB4822" w:rsidRDefault="00DB4822" w:rsidP="00E11062">
            <w:pPr>
              <w:pStyle w:val="Konzulensek"/>
            </w:pPr>
            <w:r w:rsidRPr="00DB4822">
              <w:t>research worker, SZIE MKK</w:t>
            </w:r>
          </w:p>
        </w:tc>
      </w:tr>
      <w:tr w:rsidR="00DB4822" w:rsidTr="00DB4822">
        <w:tc>
          <w:tcPr>
            <w:tcW w:w="9854" w:type="dxa"/>
          </w:tcPr>
          <w:p w:rsidR="00DB4822" w:rsidRPr="00DB4822" w:rsidRDefault="00DB4822" w:rsidP="004D7940">
            <w:pPr>
              <w:pStyle w:val="Konzulensek"/>
            </w:pPr>
            <w:r w:rsidRPr="00DB4822">
              <w:t>Dr. Árpád Hegyi</w:t>
            </w:r>
          </w:p>
          <w:p w:rsidR="00DB4822" w:rsidRDefault="00DB4822" w:rsidP="00E11062">
            <w:pPr>
              <w:pStyle w:val="Konzulensek"/>
            </w:pPr>
            <w:r w:rsidRPr="00DB4822">
              <w:t>junior research fellow, SZIE MKK</w:t>
            </w:r>
          </w:p>
        </w:tc>
      </w:tr>
      <w:tr w:rsidR="00DB4822" w:rsidTr="00DB4822">
        <w:tc>
          <w:tcPr>
            <w:tcW w:w="9854" w:type="dxa"/>
          </w:tcPr>
          <w:p w:rsidR="00DB4822" w:rsidRPr="00DB4822" w:rsidRDefault="00DB4822" w:rsidP="004D7940">
            <w:pPr>
              <w:pStyle w:val="Konzulensek"/>
            </w:pPr>
            <w:r w:rsidRPr="00DB4822">
              <w:t>Katalin Bakos</w:t>
            </w:r>
          </w:p>
          <w:p w:rsidR="00DB4822" w:rsidRDefault="00DB4822" w:rsidP="00E11062">
            <w:pPr>
              <w:pStyle w:val="Konzulensek"/>
            </w:pPr>
            <w:r w:rsidRPr="00DB4822">
              <w:t>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Effects of silver nanoparticles on zebrafish (Danio rerio)</w:t>
      </w:r>
    </w:p>
    <w:p w:rsidR="00D71DF5" w:rsidRDefault="00D71DF5" w:rsidP="00AD2602">
      <w:pPr>
        <w:jc w:val="both"/>
      </w:pPr>
    </w:p>
    <w:p>
      <w:pPr>
        <w:pBdr/>
        <w:spacing w:before="240" w:after="240" w:line="240" w:lineRule="auto"/>
        <w:ind w:left="0" w:right="0"/>
        <w:jc w:val="left"/>
      </w:pPr>
      <w:r>
        <w:rPr>
          <w:color w:val="000000"/>
          <w:sz w:val="24"/>
          <w:szCs w:val="24"/>
        </w:rPr>
        <w:t xml:space="preserve">Diseases caused by moulds (Saprolegniosis) are well-known problems in fisheries. The oomycete (Saprolegnia) infects fish eggs and cause significant problems during the artificial egg hatching. The most commonly agents used against oomycete are malachite green and formalin. These substances are active against the oomycete, nevertheless they are highly toxic as well. The European Union is clearly seeking to ban these toxic agents, but there is still a need to find an agent that would substitute their use. Nanomaterials (especially nano-silver) could be an alternative solution for this problem, although we know little about their physiological- and long-term environmental effects. These effects are essential to know well to develop a successful egg hatching method using nanomaterials. For these reasons, our work aims to know more about the long-term effects of nanosilver on the health of female fish and the indirect and direct effects on developing embryos. Thus, we investigated the long-term effects on the offspring of the mothers and in addition we tried to define if there is a barrier effect of the egg’s chorion layer against the silver nanoparticles. During the long-term study wild-type (AB) zebrafish females were kept in 0,5 ppm and 1 ppm nanosilver solutions in semi-static system for five weeks. The females were spawning every week. We examined the number of eggs, the fertilization rate and the morphological abnormalities of the developing embryos. At the end of the study we made histological sections of the females to investigate the changes of the notable organs in toxicology. During the second part of the experiment kidney, nervous system or blood-vascular transgenic zebrafish dechorionated and undechorionated eggs were treated with 5, 10, 20, 50 and 100 ppm nano-silver concentrations. At the end of the test the embryos were examined by light microscope for morphological abnormalities and by fluorescence microscope for the possible distortions of the fluorescent organs. Based on these results, we can say that after 5 week exposure the nanosilver did not cause significant decrease in the number of the egg and the fertilization rate, and caused no significant morphological abnormalities in the embryos. During the study we found high variation in the individually sensitivity of the treated females. The histological studies showed some abnormalities in various degrees. After the study of the eggs we concluded that their chorion layer can protect the developing embryos of the effects of silver nanoparticles in some level. During the analysis of the transgenic embryos, we found that the nanosilver did not injured the nervous system’s development, however, it had negative effects on the development of the kidney and especially on the blood vessels and blood-forming organs. Nano-particles are used in many fields, although the exact mechanism is still unknown of these materials despite their promising, novel properties. Thus, these findings may help in the planning of the tests in the future, nevertheless the use of nano-silver in fisheries is possible only after further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02846">
    <w:multiLevelType w:val="hybridMultilevel"/>
    <w:lvl w:ilvl="0" w:tplc="49116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02846">
    <w:abstractNumId w:val="25102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321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