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MARIANNA KLAUDIA LEVAI DR.</w:t>
            </w:r>
          </w:p>
          <w:p w:rsidR="00C275A3" w:rsidRDefault="00A96AEC" w:rsidP="00C275A3">
            <w:pPr>
              <w:pStyle w:val="Hallgatokepzes"/>
            </w:pPr>
            <w:r>
              <w:t>Lawyer</w:t>
            </w:r>
            <w:r>
              <w:br/>
            </w:r>
            <w:r w:rsidR="00E77B23">
              <w:t>Unified, 10.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Zsanett Fantoly Dr.</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admissibility of evidence in the criminal procedure law of the United States of America</w:t>
      </w:r>
    </w:p>
    <w:p w:rsidR="00D71DF5" w:rsidRDefault="00D71DF5" w:rsidP="00AD2602">
      <w:pPr>
        <w:jc w:val="both"/>
      </w:pPr>
    </w:p>
    <w:p>
      <w:pPr>
        <w:pBdr/>
        <w:spacing w:before="240" w:after="240" w:line="240" w:lineRule="auto"/>
        <w:ind w:left="0" w:right="0"/>
        <w:jc w:val="left"/>
      </w:pPr>
      <w:r>
        <w:rPr>
          <w:color w:val="000000"/>
          <w:sz w:val="24"/>
          <w:szCs w:val="24"/>
        </w:rPr>
        <w:t xml:space="preserve">The admissibility of evidence in the criminal procedure law of the United States of America</w:t>
      </w:r>
    </w:p>
    <w:p>
      <w:pPr>
        <w:pBdr/>
        <w:spacing w:before="240" w:after="240" w:line="240" w:lineRule="auto"/>
        <w:ind w:left="0" w:right="0"/>
        <w:jc w:val="left"/>
      </w:pPr>
      <w:r>
        <w:rPr>
          <w:color w:val="000000"/>
          <w:sz w:val="24"/>
          <w:szCs w:val="24"/>
        </w:rPr>
        <w:t xml:space="preserve">Author: Marianna Klaudia Lévai Dr</w:t>
      </w:r>
    </w:p>
    <w:p>
      <w:pPr>
        <w:pBdr/>
        <w:spacing w:before="240" w:after="240" w:line="240" w:lineRule="auto"/>
        <w:ind w:left="0" w:right="0"/>
        <w:jc w:val="left"/>
      </w:pPr>
      <w:r>
        <w:rPr>
          <w:color w:val="000000"/>
          <w:sz w:val="24"/>
          <w:szCs w:val="24"/>
        </w:rPr>
        <w:t xml:space="preserve">(Győr, Viola u. 29. 9025; 70/3265673; levai.mariann88@gmail.com)</w:t>
      </w:r>
    </w:p>
    <w:p>
      <w:pPr>
        <w:pBdr/>
        <w:spacing w:before="240" w:after="240" w:line="240" w:lineRule="auto"/>
        <w:ind w:left="0" w:right="0"/>
        <w:jc w:val="left"/>
      </w:pPr>
      <w:r>
        <w:rPr>
          <w:color w:val="000000"/>
          <w:sz w:val="24"/>
          <w:szCs w:val="24"/>
        </w:rPr>
        <w:t xml:space="preserve">Lawyer, Fifth Grade</w:t>
      </w:r>
    </w:p>
    <w:p>
      <w:pPr>
        <w:pBdr/>
        <w:spacing w:before="240" w:after="240" w:line="240" w:lineRule="auto"/>
        <w:ind w:left="0" w:right="0"/>
        <w:jc w:val="left"/>
      </w:pPr>
      <w:r>
        <w:rPr>
          <w:color w:val="000000"/>
          <w:sz w:val="24"/>
          <w:szCs w:val="24"/>
        </w:rPr>
        <w:t xml:space="preserve">Consultant: Zsanett Fantoly Dr, Associate Professor</w:t>
      </w:r>
    </w:p>
    <w:p>
      <w:pPr>
        <w:pBdr/>
        <w:spacing w:before="240" w:after="240" w:line="240" w:lineRule="auto"/>
        <w:ind w:left="0" w:right="0"/>
        <w:jc w:val="left"/>
      </w:pPr>
      <w:r>
        <w:rPr>
          <w:color w:val="000000"/>
          <w:sz w:val="24"/>
          <w:szCs w:val="24"/>
        </w:rPr>
        <w:t xml:space="preserve">                                                                           Resume</w:t>
      </w:r>
    </w:p>
    <w:p>
      <w:pPr>
        <w:pBdr/>
        <w:spacing w:before="240" w:after="240" w:line="240" w:lineRule="auto"/>
        <w:ind w:left="0" w:right="0"/>
        <w:jc w:val="left"/>
      </w:pPr>
      <w:r>
        <w:rPr>
          <w:color w:val="000000"/>
          <w:sz w:val="24"/>
          <w:szCs w:val="24"/>
        </w:rPr>
        <w:t xml:space="preserve">The United States of America is one of the countries where, due to the common law roots, a legal system of a kind has developed that is divergent from the continental one. This is exactly what served as an inspiration for the subject of the research, since the wholly dissimilar legal thinking, legal institutions and legal solutions include numerous valuable or rejectable, but anyway interesting samples for a researcher grown up in a continental system.</w:t>
      </w:r>
    </w:p>
    <w:p>
      <w:pPr>
        <w:pBdr/>
        <w:spacing w:before="240" w:after="240" w:line="240" w:lineRule="auto"/>
        <w:ind w:left="0" w:right="0"/>
        <w:jc w:val="left"/>
      </w:pPr>
      <w:r>
        <w:rPr>
          <w:color w:val="000000"/>
          <w:sz w:val="24"/>
          <w:szCs w:val="24"/>
        </w:rPr>
        <w:t xml:space="preserve">The essay scrutinizes the fully regulated evidentiary system of the American criminal procedure, a field of law that is missing partially or as a whole from the domestic criminal system. Therefore the thesis sheds light to the issue how the legal space caused by the succinct Hungarian regulation can be resolved in the national criminal proceedings. The issues arising in the evidentiary procedure of the United States are not attributable only to the common law country, since the problems regulated in that system arise in the Hungarian trials as well, and they also needed to be decided even if no concrete legal proscription exists.</w:t>
      </w:r>
    </w:p>
    <w:p>
      <w:pPr>
        <w:pBdr/>
        <w:spacing w:before="240" w:after="240" w:line="240" w:lineRule="auto"/>
        <w:ind w:left="0" w:right="0"/>
        <w:jc w:val="left"/>
      </w:pPr>
      <w:r>
        <w:rPr>
          <w:color w:val="000000"/>
          <w:sz w:val="24"/>
          <w:szCs w:val="24"/>
        </w:rPr>
        <w:t xml:space="preserve">So the research has come to the conclusion that due to the lack of written law, the case law of the courts should contain the answer for how the fate of a particular evidence should be decided. In order to answer this question, primarily the examination of groundlessness could be a reference point, since in that context it is still not known what kind of evidence the case law requires for proving a certain kind of fact, if any and whether there is a difference in the practice of each county or regional court of appeal in this regard.</w:t>
      </w:r>
    </w:p>
    <w:p>
      <w:pPr>
        <w:pBdr/>
        <w:spacing w:before="240" w:after="240" w:line="240" w:lineRule="auto"/>
        <w:ind w:left="0" w:right="0"/>
        <w:jc w:val="left"/>
      </w:pPr>
      <w:r>
        <w:rPr>
          <w:color w:val="000000"/>
          <w:sz w:val="24"/>
          <w:szCs w:val="24"/>
        </w:rPr>
        <w:t xml:space="preserve">So the essay throws light upon a research demand whose basis is the legal space existing within the written law of evidence but resolved by case law. However, the analysis of the issue has been disregarded by the researchers so far despite the fact that it must constitute a valuable basis for a novel and empiric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123742">
    <w:multiLevelType w:val="hybridMultilevel"/>
    <w:lvl w:ilvl="0" w:tplc="102218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123742">
    <w:abstractNumId w:val="591237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04786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