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ANNA BARBARA</w:t>
            </w:r>
          </w:p>
          <w:p w:rsidR="00C275A3" w:rsidRDefault="00A96AEC" w:rsidP="00C275A3">
            <w:pPr>
              <w:pStyle w:val="Hallgatokepzes"/>
            </w:pPr>
            <w:r>
              <w:t>Biztonságtechnika</w:t>
            </w:r>
            <w:r>
              <w:br/>
            </w:r>
            <w:r w:rsidR="00E77B23">
              <w:t>MSc, 1.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Szűcs Endre</w:t>
            </w:r>
          </w:p>
          <w:p w:rsidR="00DB4822" w:rsidRDefault="00DB4822" w:rsidP="00E11062">
            <w:pPr>
              <w:pStyle w:val="Konzulensek"/>
            </w:pPr>
            <w:r w:rsidRPr="00DB4822">
              <w:t>adjunktus,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Szabó Anna Barbara</w:t>
      </w:r>
    </w:p>
    <w:p>
      <w:pPr>
        <w:pBdr/>
        <w:spacing w:before="240" w:after="240" w:line="240" w:lineRule="auto"/>
        <w:ind w:left="0" w:right="0"/>
        <w:jc w:val="left"/>
      </w:pPr>
      <w:r>
        <w:rPr>
          <w:color w:val="000000"/>
          <w:sz w:val="24"/>
          <w:szCs w:val="24"/>
        </w:rPr>
        <w:t xml:space="preserve">Biztonságtechnika msc. I évfolyam</w:t>
      </w:r>
    </w:p>
    <w:p>
      <w:pPr>
        <w:pBdr/>
        <w:spacing w:before="240" w:after="240" w:line="240" w:lineRule="auto"/>
        <w:ind w:left="0" w:right="0"/>
        <w:jc w:val="left"/>
      </w:pPr>
      <w:r>
        <w:rPr>
          <w:color w:val="000000"/>
          <w:sz w:val="24"/>
          <w:szCs w:val="24"/>
        </w:rPr>
        <w:t xml:space="preserve">Bánki Donát Gépész és Biztonságtechnikai Mérnöki Kar</w:t>
      </w:r>
    </w:p>
    <w:p>
      <w:pPr>
        <w:pBdr/>
        <w:spacing w:before="240" w:after="240" w:line="240" w:lineRule="auto"/>
        <w:ind w:left="0" w:right="0"/>
        <w:jc w:val="left"/>
      </w:pPr>
      <w:r>
        <w:rPr>
          <w:color w:val="000000"/>
          <w:sz w:val="24"/>
          <w:szCs w:val="24"/>
        </w:rPr>
        <w:t xml:space="preserve">AZ ELEKTRONIKUS KAPCSOLATARTÁS SZABÁLYOZÁSA ÉS GARARANCIÁI</w:t>
      </w:r>
    </w:p>
    <w:p>
      <w:pPr>
        <w:pBdr/>
        <w:spacing w:before="240" w:after="240" w:line="240" w:lineRule="auto"/>
        <w:ind w:left="0" w:right="0"/>
        <w:jc w:val="left"/>
      </w:pPr>
      <w:r>
        <w:rPr>
          <w:color w:val="000000"/>
          <w:sz w:val="24"/>
          <w:szCs w:val="24"/>
        </w:rPr>
        <w:t xml:space="preserve">A dolgozatban csak a közigazgatási értelemben vett elektronikus kapcsolattatással foglalkoztam.  Ennek az az oka, hogy  véleményem szerint a közigazgatás az, a terület, mely minden állampolgárt érint, elkerülhetetlenül az életünk része, ugyanakkor pontosan ezért túl nagy terület ahhoz, hogy minden aspektusára kitérjek a  dolgozat elkészítése során.</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Az elektronikus ügyintézést a Ket. módosítása miatt 2011. január 01. óta elektronikus kapcsolattartásnak nevezik a közszolgálatban. Ennek eszköze a kormányzati szinten történő megjelenési formája a www.magyarorszag.hu-n keresztül elérhető Ügyfélkapu rendszer. Bár Hazánkban még nem elterjedt az elektronikus hatósági igazolványok használata és az elektronikus okirati forma is csak korlátok között értelmezhető, nem szabad figyelmen kívül hagyni, mivel az Európai Unió követelményei is ezt az irányvonalat támogatják. Új kihívásokat generál, mivel természetéből eredően nem minden jogviszony alkalmas arra, hogy kizárólag elektronikus formában létesítsék, másrészről megoldásra váró feladatokat eredményez, mind központi kormányzati szinten, mind számítástechnikai szinten is. Hisz kormányzati szinten meg kell szervezni a korszerű infrastruktúrát, az állampolgárok technikai és szellemi felkészítését az új térben való ügyintézésre, továbbá új szabványokat, egymással kompatibilis szoftvereket kell alkotni, figyelemmel arra, hogy a régi dokumentumok ne szenvedjenek károsodást, ne keletkezzen anyagvesztés, de a tárolásuk se tökéletesen megoldott pl.: a CD-k szabatossága átlagosan 5 év.</w:t>
      </w:r>
    </w:p>
    <w:p>
      <w:pPr>
        <w:pBdr/>
        <w:spacing w:before="240" w:after="240" w:line="240" w:lineRule="auto"/>
        <w:ind w:left="0" w:right="0"/>
        <w:jc w:val="left"/>
      </w:pPr>
      <w:r>
        <w:rPr>
          <w:color w:val="000000"/>
          <w:sz w:val="24"/>
          <w:szCs w:val="24"/>
        </w:rPr>
        <w:t xml:space="preserve">A dolgozat felépítése az alábbi:</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Európai Uniós szinten az elektronikus kapcsolattartással kapcsolatos rendelkezések közül a mérföldkőnek számító A közigazgatás korszerűsítését szolgáló aktuális e-kormányzati feladatokról szóló 1044/2005 (V.11.) Korm. határozata az Európai Bizottság „COM/2001/0140.final” közleményt és az Alapvető közszolgáltatások közös listáját dolgozom fel.</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Magyarországi szabályozások közül Az államigazgatási eljárás általános szabályairól szóló 1957. évi IV. törvény, A közigazgatási hatósági eljárás és szolgáltatás általános szabályairól szóló 2004. évi CXL. törvény és az elektronikus kapcsolattartásra vonatkozó módosításait, Az elektronikus közszolgáltatásról szóló 2009. évi LX. törvény (Ekszt.), 2009. évi LII. törvény a hivatalos iratok elektronikus kézbesítéséről és az elektronikus tértivevényről szóló törvények elektronikus kapcsolattartással kapcsolatos részeit elemzem összehasonlító jelleggel.</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Ezt követően az elektronikus kapcsolattartás technikai garanciáit ismertetem a 2009. évi LII. törvény a hivatalos iratok elektronikus kézbesítéséről és az elektronikus tértivevényről szóló törvény és a 2009. évi LX. törvény az elektronikus közszolgáltatásról törvények segítségével.</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A dolgozat szerves részeként a részletesen foglalkozok az Ügyfélkapu gyakorlati alkalmazásával.</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Az elektronikus kapcsolattartás jogi garanciáit adja az információs önrendelkezési jog és az információ szabadságához való jog, ezért annak érvényesülését elemzem az 1949. évi XX. törvény A Magyar Köztársaság Alkotmánya és az 1992. évi LXIII. törvény a személyes adatok védelméről és a közérdekű adatok nyilvánosságáról szóló törvény, továbbá a 2005. évi XC. törvény az elektronikus információ szabadságról szóló törvény alapján.</w:t>
      </w:r>
    </w:p>
    <w:p>
      <w:pPr>
        <w:pStyle w:val="ListParagraphPHPDOCX"/>
        <w:numPr>
          <w:ilvl w:val="0"/>
          <w:numId w:val="98638709"/>
        </w:numPr>
        <w:spacing w:before="0" w:after="0" w:line="240" w:lineRule="auto"/>
        <w:contextualSpacing/>
        <w:jc w:val="left"/>
        <w:rPr>
          <w:sz w:val="24"/>
          <w:szCs w:val="24"/>
        </w:rPr>
      </w:pPr>
      <w:r>
        <w:rPr>
          <w:color w:val="000000"/>
          <w:sz w:val="24"/>
          <w:szCs w:val="24"/>
        </w:rPr>
        <w:t xml:space="preserve">Az utolsó fejezetében az Ügyfélkapu használatával kapcsolatos statisztika felmérés eredményét mutatom be.</w:t>
      </w:r>
    </w:p>
    <w:p>
      <w:pPr>
        <w:pBdr/>
        <w:spacing w:before="240" w:after="240" w:line="240" w:lineRule="auto"/>
        <w:ind w:left="0" w:right="0"/>
        <w:jc w:val="left"/>
      </w:pPr>
      <w:r>
        <w:rPr>
          <w:color w:val="000000"/>
          <w:sz w:val="24"/>
          <w:szCs w:val="24"/>
        </w:rPr>
        <w:t xml:space="preserve">A dolgozat a 2011. október végén hatályos jogszabályok alapján készült.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38709">
    <w:multiLevelType w:val="hybridMultilevel"/>
    <w:lvl w:ilvl="0" w:tplc="24539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38709">
    <w:abstractNumId w:val="98638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175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