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ÁCS</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Kalmár</w:t>
            </w:r>
          </w:p>
          <w:p w:rsidR="00DB4822" w:rsidRDefault="00DB4822" w:rsidP="00E11062">
            <w:pPr>
              <w:pStyle w:val="Konzulensek"/>
            </w:pPr>
            <w:r w:rsidRPr="00DB4822">
              <w:t>Senior research fellow,  Institute of Enzymology Biological Research Center Hungarian Academy of Sciences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disorder in the degradation of mRNAs containing a premature STOP codon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Nonsense-mediated mRNA decay (NMD) is a cytoplasmic surveillance system that identifies and degrades mRNAs containing premature termination codons (PTC), thus prevents the production of truncated and inappropriate proteins. The mechanism of NMD, especially the basic sign of recognition is different in various taxonomical levels. In yeasts and worms the downstream sequence elements (DSE), in insects and plants the extremely long 3’UTR, while in mammals and also in plants exon-junction protein complexes help the cell to recognize PTC-containing mRNAs.</w:t>
      </w:r>
    </w:p>
    <w:p>
      <w:pPr>
        <w:pBdr/>
        <w:spacing w:before="240" w:after="240" w:line="240" w:lineRule="auto"/>
        <w:ind w:left="0" w:right="0"/>
        <w:jc w:val="left"/>
      </w:pPr>
      <w:r>
        <w:rPr>
          <w:color w:val="000000"/>
          <w:sz w:val="24"/>
          <w:szCs w:val="24"/>
        </w:rPr>
        <w:t xml:space="preserve">These three types of NMD all depend on the binding and communication of proteins and protein complexes far distant from each other. In the distance-measurement the long-range interactions by proteins that are possessed of enhanced hydrodynamic radius (fly-casting) seem to be indispensable for NMD. This distance-tolerance is one of the basic characteristics of disordered protein regions.</w:t>
      </w:r>
    </w:p>
    <w:p>
      <w:pPr>
        <w:pBdr/>
        <w:spacing w:before="240" w:after="240" w:line="240" w:lineRule="auto"/>
        <w:ind w:left="0" w:right="0"/>
        <w:jc w:val="left"/>
      </w:pPr>
      <w:r>
        <w:rPr>
          <w:color w:val="000000"/>
          <w:sz w:val="24"/>
          <w:szCs w:val="24"/>
        </w:rPr>
        <w:t xml:space="preserve">In this work our aim was to analyze the sequence, structure and function of proteins and their potential homologues participating in NMD mechanisms, and to compare the three types of mechanisms based on bioinformatics examinations. To this end, we have examined five well-described species which differ in the NMD-type they use (S. cerevisiae, C. elegans, D. melanogaster, A. thaliana, H. sapiens). We have aimed to emphasize the best-known mammalian intron-based NMD and the description of the disordered proteins and their potential functions in NMD.</w:t>
      </w:r>
    </w:p>
    <w:p>
      <w:pPr>
        <w:pBdr/>
        <w:spacing w:before="240" w:after="240" w:line="240" w:lineRule="auto"/>
        <w:ind w:left="0" w:right="0"/>
        <w:jc w:val="left"/>
      </w:pPr>
      <w:r>
        <w:rPr>
          <w:color w:val="000000"/>
          <w:sz w:val="24"/>
          <w:szCs w:val="24"/>
        </w:rPr>
        <w:t xml:space="preserve">During the examination of proteins participating in NMD using bioinformatics methods, we have observed that many disordered proteins and protein regions are found in NMD, and that they significantly participate in the long-range interactions between the distant complexes. We have also determined that the appropriate homologues of human NMD-proteins in inferior organisms usually contain as many or less disordered regions than the human NMD-proteins, but their disordered segments are also found in NMD and probably play an important role in nonsense-mediated decay.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09862">
    <w:multiLevelType w:val="hybridMultilevel"/>
    <w:lvl w:ilvl="0" w:tplc="60737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09862">
    <w:abstractNumId w:val="562098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760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