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DÚL</w:t>
            </w:r>
          </w:p>
          <w:p w:rsidR="00C275A3" w:rsidRDefault="00A96AEC" w:rsidP="00C275A3">
            <w:pPr>
              <w:pStyle w:val="Hallgatokepzes"/>
            </w:pPr>
            <w:r>
              <w:t>dentist</w:t>
            </w:r>
            <w:r>
              <w:br/>
            </w:r>
            <w:r w:rsidR="00E77B23">
              <w:t>Unified, 7.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DEZSO MODOS</w:t>
            </w:r>
          </w:p>
          <w:p w:rsidR="00DB4822" w:rsidRDefault="00C275A3" w:rsidP="004D7940">
            <w:pPr>
              <w:pStyle w:val="Hallgatokepzes"/>
            </w:pPr>
            <w:r>
              <w:t>General Medicine</w:t>
            </w:r>
            <w:r w:rsidR="00A96AEC">
              <w:br/>
              <w:t>Unified, 11.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Lenti</w:t>
            </w:r>
          </w:p>
          <w:p w:rsidR="00DB4822" w:rsidRDefault="00DB4822" w:rsidP="00E11062">
            <w:pPr>
              <w:pStyle w:val="Konzulensek"/>
            </w:pPr>
            <w:r w:rsidRPr="00DB4822">
              <w:t>assistant professor, SE ETK</w:t>
            </w:r>
          </w:p>
        </w:tc>
      </w:tr>
      <w:tr w:rsidR="00DB4822" w:rsidTr="00DB4822">
        <w:tc>
          <w:tcPr>
            <w:tcW w:w="9854" w:type="dxa"/>
          </w:tcPr>
          <w:p w:rsidR="00DB4822" w:rsidRPr="00DB4822" w:rsidRDefault="00DB4822" w:rsidP="004D7940">
            <w:pPr>
              <w:pStyle w:val="Konzulensek"/>
            </w:pPr>
            <w:r w:rsidRPr="00DB4822">
              <w:t>dr. Tamás Korcsmáros</w:t>
            </w:r>
          </w:p>
          <w:p w:rsidR="00DB4822" w:rsidRDefault="00DB4822" w:rsidP="00E11062">
            <w:pPr>
              <w:pStyle w:val="Konzulensek"/>
            </w:pPr>
            <w:r w:rsidRPr="00DB4822">
              <w:t>research fellow, ELTE TTK</w:t>
            </w:r>
          </w:p>
        </w:tc>
      </w:tr>
      <w:tr w:rsidR="00DB4822" w:rsidTr="00DB4822">
        <w:tc>
          <w:tcPr>
            <w:tcW w:w="9854" w:type="dxa"/>
          </w:tcPr>
          <w:p w:rsidR="00DB4822" w:rsidRPr="00DB4822" w:rsidRDefault="00DB4822" w:rsidP="004D7940">
            <w:pPr>
              <w:pStyle w:val="Konzulensek"/>
            </w:pPr>
            <w:r w:rsidRPr="00DB4822">
              <w:t>dr. Péter Csermely</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network motifs in signalling network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analysis of biological networks leaded to the identification of network patterns (or network motifs), which have importance in biological activation, regulation and adaptation. In signalling pathways there are several network motifs but systems-level identification and exploration of network topological properties of network motifs have not been done in larger signalling networks. Therefore, our aims were to identify and examine network motifs with 3 proteins and 3 connections (i.e, feed-forward and feedback motifs) in a signalling network. We used a database called SignaLink, developed earlier by our research group. SignaLink database (http://signalink.org) contains 8 important signalling pathways with their member proteins and connections. During the motif-identification we used a computer application, Cytoscape with its NetMatch plugin. The identified network motifs were manually checked one by one. Next, we checked the occurrence of cancer-related mutations in the genes encoding proteins forming network motifs. During this examination we used mutation data from the COSMIC database. We defined 4 motif categories and found 676 motifs in the signalling network. As SignaLink database contains pathway annotations for all of the proteins, we also used the pathway annotations for the analysis. We defined “pathway-motifs” and examined these motifs. For the motifs, regulated at the initial proteins (front-regulated category), we found EGF-MAPK, WNT, TGF, IGF and Notch pathways significantly more common, while by back-regulated category (where the terminal protein is regulated) EGF-MAPK, TGF and Hedgehog pathways were more common. Next, we examined the topological roles of signalling proteins in the different motifs. We found that in the initial protein of the feed-forward motifs receptors and co-factors were more frequent, while transcriptional factors were more rare. We examined the tissue expression of network motifs and could define two categories: (1) tissue-specific network motifs, and (2) common or house-keeping motifs. We examined whether the network motifs are inside the signalling pathways or between signalling pathways (i.e, cross-talks). We also examined medical relations and pharmacological impact of the network motifs. Overall, we think that the current work could help us to understand the systems-level properties of network motifs in signalling networks and could facilitate drugs target discovery and side-effects evaluation.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86659">
    <w:multiLevelType w:val="hybridMultilevel"/>
    <w:lvl w:ilvl="0" w:tplc="22369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86659">
    <w:abstractNumId w:val="66786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431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