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BARNÁS</w:t>
            </w:r>
          </w:p>
          <w:p w:rsidR="00C275A3" w:rsidRDefault="00A96AEC" w:rsidP="00C275A3">
            <w:pPr>
              <w:pStyle w:val="Hallgatokepzes"/>
            </w:pPr>
            <w:r>
              <w:t>Biology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M. Tóth</w:t>
            </w:r>
          </w:p>
          <w:p w:rsidR="00DB4822" w:rsidRDefault="00DB4822" w:rsidP="00E11062">
            <w:pPr>
              <w:pStyle w:val="Konzulensek"/>
            </w:pPr>
            <w:r w:rsidRPr="00DB4822">
              <w:t>assistant professor , ELTE TTK</w:t>
            </w:r>
          </w:p>
        </w:tc>
      </w:tr>
      <w:tr w:rsidR="00DB4822" w:rsidTr="00DB4822">
        <w:tc>
          <w:tcPr>
            <w:tcW w:w="9854" w:type="dxa"/>
          </w:tcPr>
          <w:p w:rsidR="00DB4822" w:rsidRPr="00DB4822" w:rsidRDefault="00DB4822" w:rsidP="004D7940">
            <w:pPr>
              <w:pStyle w:val="Konzulensek"/>
            </w:pPr>
            <w:r w:rsidRPr="00DB4822">
              <w:t>Zalán Gábor Homonnay</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Polyphasic description of novel bacteria isolated from a drinking water supply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Although drinking water is an oligotrophic environment, several microorganisms are adapted to this low organic matter content habitat. Many of these microbes cannot be cultured with classical methods, but if we use oligotrophic media and molecular biological methods, their diversity can be explored. This way even uncultivable bacteria can be isolated. Furthermore if we can cultivate them, we can describe new taxa. The aim of my studies was to describe the taxonomic examinations of six bacterial strains isolated previously from a drinking water supply system.</w:t>
      </w:r>
      <w:r>
        <w:rPr>
          <w:color w:val="000000"/>
          <w:sz w:val="24"/>
          <w:szCs w:val="24"/>
        </w:rPr>
        <w:br/>
        <w:t xml:space="preserve">By having sequenced the 16rRNA genes of these bacterial strains and analyzing the results phylogenetic trees were constructed with different algorithms. Additionally we examined the classical phenotypic properties of the strains and their closest cultivable relatives: Gram staining was used (their shape, size (µm), aggregation, etc), then the degradation of Tween80, starch hydrolysis, phosphatase activity, oxidation and fermentation of D-glucose, urease activity, Methyl- red and Voges-Proskauer reactions, indol production and nitrate reduction were tested. The ecological properties of our bacteria were tested as follows: their growth at 4 oC, 28 oC, 37 oC, 45 oC, in 0%, 1,5%, 2,5%, 5% NaCl solution, and between pH 3 and pH11 were analysed. We used Api® ZYM (bioMérieux SA) test for testing enzyme reactions and Api® 50CH (bioMérieux SA) to test carbohydrate degradation.</w:t>
      </w:r>
      <w:r>
        <w:rPr>
          <w:color w:val="000000"/>
          <w:sz w:val="24"/>
          <w:szCs w:val="24"/>
        </w:rPr>
        <w:br/>
        <w:t xml:space="preserve">According to their whole 16S rRNA gene sequences the new bacterial strains have similarity to different taxa: PYM3-14 strain to Arenimonas oryziterrae 95,238% and 94,471% to Lysobacter brunescens, the M4-14 strain to Undibacterium pigrum 96,05% and 96.149% to Herminiimonas arsenicoxidans, the M4-9 and M4-10 strains to Rhizobacter dauci 98,551%, PYM7-15 and PYM7-16 strains to Mycobacterium hodleri 98,615%.</w:t>
      </w:r>
      <w:r>
        <w:rPr>
          <w:color w:val="000000"/>
          <w:sz w:val="24"/>
          <w:szCs w:val="24"/>
        </w:rPr>
        <w:br/>
        <w:t xml:space="preserve">The phylogenetic trees based on their 16S rRNS gene sequences show our bacteria’s differences from their closest relatives at different levels. Moreover the phenotypic examinations confirmed that most of our bacteria belong to new taxa. Further chemotaxonomical studies are needed to publish the novel bacterial strains.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41797">
    <w:multiLevelType w:val="hybridMultilevel"/>
    <w:lvl w:ilvl="0" w:tplc="61136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41797">
    <w:abstractNumId w:val="98941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554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