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REBEKA FEKETE</w:t>
            </w:r>
          </w:p>
          <w:p w:rsidR="00C275A3" w:rsidRDefault="00A96AEC" w:rsidP="00C275A3">
            <w:pPr>
              <w:pStyle w:val="Hallgatokepzes"/>
            </w:pPr>
            <w:r>
              <w:t>Neurobiology and Humanbiology</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Tibor Zelles Dr</w:t>
            </w:r>
          </w:p>
          <w:p w:rsidR="00DB4822" w:rsidRDefault="00DB4822" w:rsidP="00E11062">
            <w:pPr>
              <w:pStyle w:val="Konzulensek"/>
            </w:pPr>
            <w:r w:rsidRPr="00DB4822">
              <w:t>associate professor,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Calcium homeostasis and purinerg modulation in the supporting cells of the organ of Corti</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Sensorineural hearing loss (SNHL) is the most common sensory deficit among people. The injury of the inner ear is the source of the sensorineural hearing loss for example presbyacusis, high level noise induced hearing loss, or caused by ototoxic drugs like the aminoglycosyde antibiotics family. Currently we can’t cure these because we don’t have enough knowledge about it’s physiologycal and patophysiologycal mechanisms, neither have the appropriate drugs or medical treatments.</w:t>
      </w:r>
      <w:r>
        <w:rPr>
          <w:color w:val="000000"/>
          <w:sz w:val="24"/>
          <w:szCs w:val="24"/>
        </w:rPr>
        <w:br/>
        <w:t xml:space="preserve">However the molecular background is well known, based on experimental data the purinerg transmission also have an important role in the cochlear physiology and patophysiology. ATP has a protective role as it can reduce the endocochlear potential and induce Ca</w:t>
      </w:r>
      <w:r>
        <w:rPr>
          <w:color w:val="000000"/>
          <w:position w:val="4"/>
          <w:sz w:val="21"/>
          <w:szCs w:val="21"/>
          <w:vertAlign w:val="superscript"/>
        </w:rPr>
        <w:t xml:space="preserve">2+</w:t>
      </w:r>
      <w:r>
        <w:rPr>
          <w:color w:val="000000"/>
          <w:sz w:val="24"/>
          <w:szCs w:val="24"/>
        </w:rPr>
        <w:t xml:space="preserve"> waves among outer, inner hair cells and supporting cells.</w:t>
      </w:r>
      <w:r>
        <w:rPr>
          <w:color w:val="000000"/>
          <w:sz w:val="24"/>
          <w:szCs w:val="24"/>
        </w:rPr>
        <w:br/>
        <w:t xml:space="preserve">Despite of this, until now we didn’t have enough knowledge about sensorineural hearing losses because the hearing mechanisms were examined only in rodent embrios and organotipic cultures. It is known that during development the purinergic receptor pattern shows a changing tendency that's why these methods are not useful for modelling sensorineural hearing losses in adult individuals. Therefore we examined them in acute hemicochlea preparation which is made from rodents what have fully developed hearing system. In this preparation we developed a new measuring method in which we could investigate all of the molecular and pharmacological mechanisms in hearing mice. This acute hemicochlea preparatum allows us to examine the pathologycal mechanisms in hearing adult mice in vivo.</w:t>
      </w:r>
      <w:r>
        <w:rPr>
          <w:color w:val="000000"/>
          <w:sz w:val="24"/>
          <w:szCs w:val="24"/>
        </w:rPr>
        <w:br/>
        <w:t xml:space="preserve">Our method can be used to measure [Ca</w:t>
      </w:r>
      <w:r>
        <w:rPr>
          <w:color w:val="000000"/>
          <w:position w:val="4"/>
          <w:sz w:val="21"/>
          <w:szCs w:val="21"/>
          <w:vertAlign w:val="superscript"/>
        </w:rPr>
        <w:t xml:space="preserve">2+</w:t>
      </w:r>
      <w:r>
        <w:rPr>
          <w:color w:val="000000"/>
          <w:sz w:val="24"/>
          <w:szCs w:val="24"/>
        </w:rPr>
        <w:t xml:space="preserve">]</w:t>
      </w:r>
      <w:r>
        <w:rPr>
          <w:color w:val="000000"/>
          <w:position w:val="-4"/>
          <w:sz w:val="21"/>
          <w:szCs w:val="21"/>
          <w:vertAlign w:val="subscript"/>
        </w:rPr>
        <w:t xml:space="preserve">i</w:t>
      </w:r>
      <w:r>
        <w:rPr>
          <w:color w:val="000000"/>
          <w:sz w:val="24"/>
          <w:szCs w:val="24"/>
        </w:rPr>
        <w:t xml:space="preserve"> changes in individual cells in the organ of Corti in hemicochlea preapared from mice. The imaged cells keep their tissue environment. We could also measure the basic Ca</w:t>
      </w:r>
      <w:r>
        <w:rPr>
          <w:color w:val="000000"/>
          <w:position w:val="4"/>
          <w:sz w:val="21"/>
          <w:szCs w:val="21"/>
          <w:vertAlign w:val="superscript"/>
        </w:rPr>
        <w:t xml:space="preserve">2+</w:t>
      </w:r>
      <w:r>
        <w:rPr>
          <w:color w:val="000000"/>
          <w:sz w:val="24"/>
          <w:szCs w:val="24"/>
        </w:rPr>
        <w:t xml:space="preserve"> concentracions (baseline) in the supporting cells and demonstrated that ATP responses are dose dependent. When ATP is often repeated it shows receptor desensitisation. Our results proves that our method can be used to investigate further the sensorineural hearing losses.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488631">
    <w:multiLevelType w:val="hybridMultilevel"/>
    <w:lvl w:ilvl="0" w:tplc="995250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488631">
    <w:abstractNumId w:val="204886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33503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