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SZALONTAI ÖRS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Hajnik Tünde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cirkadián és homeosztatikus tényezõk alvás-ébrenlétre kifejtett hatásának vizsgálata különbözõ fény-sötét körülmények között tartott patkányokban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alvás a biológiai ritmusok egyik legjellemzőbb példája. Az alvás szabályozásában homeosztatikus és cirkadián tényezők egyaránt szerepet játszanak, együttes hatásukat legtömörebben a Borbély-féle „two process modell” foglalja össze. Kísérletünkben arra voltunk kíváncsiak, hogy az alvás alatti delta teljesítmény (DP, „delta power”) változásaira melyik tényező hat erősebben, az előzőleg természetes fény-sötét körülmények (LD, light-dark conditions) között tartott állatok 1-1 órás LD körülmények közé helyezése, milyen hatással van a patkányok alvási szokásaira.</w:t>
      </w:r>
      <w:r>
        <w:rPr>
          <w:color w:val="000000"/>
          <w:sz w:val="24"/>
          <w:szCs w:val="24"/>
        </w:rPr>
        <w:br/>
        <w:t xml:space="preserve">Kísérletünk során megállapítottuk, hogy 1-1 órás LD körülmények közé helyezett patkányok 24 órás napi ritmusa 1 hét után sem szűnt meg. Míg a 12-12 órás LD között tartott állatok magas delta teljesítménnyel jellemezhető mélyalvásának túlnyomó része a nyugalmi időszak első néhány órájára összpontosult, az 1-1 órás LD között tartott patkányokra ez kevésbé volt jellemző: a DP 24 órás varianciája csökkent. Megfigyeltük tovább, hogy a paradox alvási szakaszok többsége a sötét órákra tolódott.</w:t>
      </w:r>
      <w:r>
        <w:rPr>
          <w:color w:val="000000"/>
          <w:sz w:val="24"/>
          <w:szCs w:val="24"/>
        </w:rPr>
        <w:br/>
        <w:t xml:space="preserve">Úgy tűnik, hogy az alvásra erősen megváltozott LD körülmények között is erősen hat a cirkadián szabályozás, de az alvás mélységét a homeosztatikus tényezők befolyásolják leginkább.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39154">
    <w:multiLevelType w:val="hybridMultilevel"/>
    <w:lvl w:ilvl="0" w:tplc="89237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39154">
    <w:abstractNumId w:val="615391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031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