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NOÉMI NAGY</w:t>
            </w:r>
          </w:p>
          <w:p w:rsidR="00C275A3" w:rsidRDefault="00A96AEC" w:rsidP="00C275A3">
            <w:pPr>
              <w:pStyle w:val="Hallgatokepzes"/>
            </w:pPr>
            <w:r>
              <w:t>Biology</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Anna Sebestyén</w:t>
            </w:r>
          </w:p>
          <w:p w:rsidR="00DB4822" w:rsidRDefault="00DB4822" w:rsidP="00E11062">
            <w:pPr>
              <w:pStyle w:val="Konzulensek"/>
            </w:pPr>
            <w:r w:rsidRPr="00DB4822">
              <w:t>Senior research fellow ,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mTOR (mammalian target of rapamycin) activity as a therapeutic target in hemato-oncology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mTOR (mammalian target of rapamycin) kinase plays central role in the regulation of the cell proliferation and survival within lymphoid cells, its uncontrolled activity leads to tumor cell growth. mTOR inhibitors (mTORI) are used in immunsuppresion. The effect of mTORI-s are testing in targeted therapy of several tumors. mTOR activity and mTORI sensitivity are tumortype dependent. Defferent lymphomas have been poorly characterized in there aspects.</w:t>
      </w:r>
      <w:r>
        <w:rPr>
          <w:color w:val="000000"/>
          <w:sz w:val="24"/>
          <w:szCs w:val="24"/>
        </w:rPr>
        <w:br/>
        <w:t xml:space="preserve">We examined the effect of the rapamycin and currently applied chemotherapeutic agents in human lymphoma cells in vivo and in vitro. The proliferation, apoptosis and amount of mTOR target proteins were studied by flowcytometry, western blot and immunohistochemical staining using cytospins, paraffin embedded tissue sections and in vitro cell cultures.We characterized the mTOR activity in tissue microarray from two frequent lymphoma types of patient’s biopsies.</w:t>
      </w:r>
      <w:r>
        <w:rPr>
          <w:color w:val="000000"/>
          <w:sz w:val="24"/>
          <w:szCs w:val="24"/>
        </w:rPr>
        <w:br/>
        <w:t xml:space="preserve">We demonstrated that rapamycin inhibit tumor growth and proliferation, induce apoptosis in long-term treatment and increase the effect of chemotherapeutic agents in Hodgkin (HL), diffuse large B-cell (DLBCL) and Burkitt lymphoma (BL) cell lines, xenografts.</w:t>
      </w:r>
      <w:r>
        <w:rPr>
          <w:color w:val="000000"/>
          <w:sz w:val="24"/>
          <w:szCs w:val="24"/>
        </w:rPr>
        <w:br/>
        <w:t xml:space="preserve">The mTOR activity and the expression mTORC1/2 complex varried in different human lymphomas and patients, this should be the cause of the resistance of currently mTORI. Our studies draw the attention to the importance both mTOR activity and rate of mTORC1 and C2 complexes. mTOR inhibitors may be useful in targeted therapy in lymphomas (specialy in HL and DLBCL), however patient and inhibitor selection criteria must be carefully considered.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867433">
    <w:multiLevelType w:val="hybridMultilevel"/>
    <w:lvl w:ilvl="0" w:tplc="367378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867433">
    <w:abstractNumId w:val="878674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65072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