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ZSÓFIA</w:t>
            </w:r>
          </w:p>
          <w:p w:rsidR="00C275A3" w:rsidRDefault="00A96AEC" w:rsidP="00C275A3">
            <w:pPr>
              <w:pStyle w:val="Hallgatokepzes"/>
            </w:pPr>
            <w:r>
              <w:t>orvos</w:t>
            </w:r>
            <w:r>
              <w:br/>
            </w:r>
            <w:r w:rsidR="00E77B23">
              <w:t>Osztatlan, 6.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Környei Zsuzsanna</w:t>
            </w:r>
          </w:p>
          <w:p w:rsidR="00DB4822" w:rsidRDefault="00DB4822" w:rsidP="00E11062">
            <w:pPr>
              <w:pStyle w:val="Konzulensek"/>
            </w:pPr>
            <w:r w:rsidRPr="00DB4822">
              <w:t>tudományos főmunkatárs,  MTA-Magyar Tudományos Akadémia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Retinoidok szerepe az idegi őssejtek differenciációja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A-vitamin biológialilag aktív származékát, az all-transz retinsavat (RA) széles körben használják in vitro multipotens sejtpopulációk (pl. embrionális karcinóma [EC] sejtek, embrionális őssejtek [ES], indukált pluripotens sejtek [iPSC]) és idegi őssejtek (NSC) idegi irányú elkötelezésére. Azonban még keveset tudunk az idegi őssejtek és a differenciálódó progenitorok A vitamin felhasználásáról, az aktív retinoidok bioszintéziséről és a sejtek retinoid metabolizmusának részleteiről.</w:t>
      </w:r>
    </w:p>
    <w:p>
      <w:pPr>
        <w:widowControl w:val="on"/>
        <w:pBdr/>
        <w:spacing w:before="240" w:after="240" w:line="240" w:lineRule="auto"/>
        <w:ind w:left="0" w:right="0"/>
        <w:jc w:val="left"/>
      </w:pPr>
      <w:r>
        <w:rPr>
          <w:color w:val="000000"/>
          <w:sz w:val="24"/>
          <w:szCs w:val="24"/>
        </w:rPr>
        <w:t xml:space="preserve">Módszerek: A retinoidok metabolizmusában és szignalizációjában részt vevő gének expressziós változásait követtem nyomon egy idegi őssejt vonal, az NE-4C, retinsav indukálta differenciációja során RT-PCR segítségével. A RA sejtek motilitására, citoszkeletális átrendeződésére és sejtadhéziójára gyakorolt korai hatásait time-lapse mikroszkópiás, immuncitokémiai és dot-blot analízisekkel vizsgáltam. Farmakológiai módszereket (retinsav receptor antagonizmus) is használtam az endogén RA szintézis szerepének meghatározására az idegi differenciáció során.</w:t>
      </w:r>
    </w:p>
    <w:p>
      <w:pPr>
        <w:widowControl w:val="on"/>
        <w:pBdr/>
        <w:spacing w:before="240" w:after="240" w:line="240" w:lineRule="auto"/>
        <w:ind w:left="0" w:right="0"/>
        <w:jc w:val="left"/>
      </w:pPr>
      <w:r>
        <w:rPr>
          <w:color w:val="000000"/>
          <w:sz w:val="24"/>
          <w:szCs w:val="24"/>
        </w:rPr>
        <w:t xml:space="preserve">Eredmények: Eredményeim szerint az NE-4C sejtek retinsav indukálta differenciációjának korai időszakában (8-24 óra) megváltozik a sejtek motilitása, adhezivitása, az extracelluláris mátrix molekulák (pl. laminin) termelése és a citoszkeletális aktin és vinculin eloszlás. Adataim azt mutatják, hogy ezek a sejtek retinsav prekurzorainak jelenlétében (pl. A vitamin. retinil-észter) képesek RA szintézisére is.</w:t>
      </w:r>
    </w:p>
    <w:p>
      <w:pPr>
        <w:widowControl w:val="on"/>
        <w:pBdr/>
        <w:spacing w:before="240" w:after="240" w:line="240" w:lineRule="auto"/>
        <w:ind w:left="0" w:right="0"/>
        <w:jc w:val="left"/>
      </w:pPr>
      <w:r>
        <w:rPr>
          <w:color w:val="000000"/>
          <w:sz w:val="24"/>
          <w:szCs w:val="24"/>
        </w:rPr>
        <w:t xml:space="preserve">Következtetés: Az eredmények alapján arra következtethetünk, hogy a sejtmotilitásban és az adhézióban bekövetkező változások hozzájárulnak a sejtek aggregációjához, mely az idegi őssejtek elköteleződésének nélkülözhetetlen lépése. Az endogén retinsav termelés majd az így létrejövő autokrin jelátvitel bizonyos NSC populációkban hatásos autoregulációs mechanizmusnak tűnik az idegi differenciációs folyamat elindításában.</w:t>
      </w:r>
    </w:p>
    <w:p>
      <w:pPr>
        <w:widowControl w:val="on"/>
        <w:pBdr/>
        <w:spacing w:before="240" w:after="240" w:line="240" w:lineRule="auto"/>
        <w:ind w:left="0" w:right="0"/>
        <w:jc w:val="left"/>
      </w:pPr>
      <w:r>
        <w:rPr>
          <w:color w:val="000000"/>
          <w:sz w:val="24"/>
          <w:szCs w:val="24"/>
        </w:rPr>
        <w:t xml:space="preserve">Támogatók: Richter Gedeon Nyrt. (IPI/266/2011)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15451">
    <w:multiLevelType w:val="hybridMultilevel"/>
    <w:lvl w:ilvl="0" w:tplc="41805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15451">
    <w:abstractNumId w:val="46815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844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