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MÉSZÁROS</w:t>
            </w:r>
          </w:p>
          <w:p w:rsidR="00C275A3" w:rsidRDefault="00A96AEC" w:rsidP="00C275A3">
            <w:pPr>
              <w:pStyle w:val="Hallgatokepzes"/>
            </w:pPr>
            <w:r>
              <w:t>doctor</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Környei, PhD</w:t>
            </w:r>
          </w:p>
          <w:p w:rsidR="00DB4822" w:rsidRDefault="00DB4822" w:rsidP="00E11062">
            <w:pPr>
              <w:pStyle w:val="Konzulensek"/>
            </w:pPr>
            <w:r w:rsidRPr="00DB4822">
              <w:t>senior research fellow,  Hungarian Academy of Sciences
Institute of Experimental Medicine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retinoids in the differentiation of neural stem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All-trans retinoic acid (RA), the biologically active derivative of vitamin A, is widely used in vitro to differentiate multipotent cells (e.g. embryonic carcinoma cells [EC], embryonic stem cells [ES], induced pluripotent cells [iPSC]) and neural stem cells (NSC) into neurons. However, little is known about the vitamin A utilization and the biosynthesis of active retinoids or about the details of retinoid metabolism in neural stem cells and differentiating progenies.</w:t>
      </w:r>
    </w:p>
    <w:p>
      <w:pPr>
        <w:widowControl w:val="on"/>
        <w:pBdr/>
        <w:spacing w:before="240" w:after="240" w:line="240" w:lineRule="auto"/>
        <w:ind w:left="0" w:right="0"/>
        <w:jc w:val="left"/>
      </w:pPr>
      <w:r>
        <w:rPr>
          <w:color w:val="000000"/>
          <w:sz w:val="24"/>
          <w:szCs w:val="24"/>
        </w:rPr>
        <w:t xml:space="preserve">Methods: The changes in the expression of the retinoid machinery related genes were studied by RT-PCR in the course of RA-induced differentiation of the NE-4C neural stem cell line. To follow the early changes in cell motility, cytoskeletal reorganization and cell adhesion, time-lapse microscopy, immunocytochemistry and dot blot analysis were used. The contribution of endogenous RA synthesis to neuronal differentiation was investigated by pharmacological methods (retinoic acid receptor antagonism) too.</w:t>
      </w:r>
    </w:p>
    <w:p>
      <w:pPr>
        <w:widowControl w:val="on"/>
        <w:pBdr/>
        <w:spacing w:before="240" w:after="240" w:line="240" w:lineRule="auto"/>
        <w:ind w:left="0" w:right="0"/>
        <w:jc w:val="left"/>
      </w:pPr>
      <w:r>
        <w:rPr>
          <w:color w:val="000000"/>
          <w:sz w:val="24"/>
          <w:szCs w:val="24"/>
        </w:rPr>
        <w:t xml:space="preserve">Results: My results show significant changes both in motility, cell adhesion, extracellular matrix (laminin) production and cytoskeletal (actin, vinculin) organization during the early (8-24hour) stages of RA-induced NE-4C cell differentiation. Moreover, our data show, that NE-4C cells - in the presence of RA precursors (e.g. vitamin A, retinyl ester) - are able to produce RA.</w:t>
      </w:r>
    </w:p>
    <w:p>
      <w:pPr>
        <w:widowControl w:val="on"/>
        <w:pBdr/>
        <w:spacing w:before="240" w:after="240" w:line="240" w:lineRule="auto"/>
        <w:ind w:left="0" w:right="0"/>
        <w:jc w:val="left"/>
      </w:pPr>
      <w:r>
        <w:rPr>
          <w:color w:val="000000"/>
          <w:sz w:val="24"/>
          <w:szCs w:val="24"/>
        </w:rPr>
        <w:t xml:space="preserve">Conclusion: The results indicate, that the observed changes in cell motility and adhesion contribute to the aggregation of the cells which is an essential step in neuronal cell fate commitment of NSCs. The endogenous RA production and consequent autocrine RA signaling may serve as a potent autoregulatory mechanism of neuronal differentiation in certain neural stem cell populations.</w:t>
      </w:r>
    </w:p>
    <w:p>
      <w:pPr>
        <w:widowControl w:val="on"/>
        <w:pBdr/>
        <w:spacing w:before="240" w:after="240" w:line="240" w:lineRule="auto"/>
        <w:ind w:left="0" w:right="0"/>
        <w:jc w:val="left"/>
      </w:pPr>
      <w:r>
        <w:rPr>
          <w:color w:val="000000"/>
          <w:sz w:val="24"/>
          <w:szCs w:val="24"/>
        </w:rPr>
        <w:t xml:space="preserve">Grant support: Richter Gedeon Pharmaceutical Inc. (IPI/266/2011)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79584">
    <w:multiLevelType w:val="hybridMultilevel"/>
    <w:lvl w:ilvl="0" w:tplc="59638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79584">
    <w:abstractNumId w:val="25279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071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