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DOROGI BENCE</w:t>
            </w:r>
          </w:p>
          <w:p w:rsidR="00C275A3" w:rsidRDefault="00A96AEC" w:rsidP="00C275A3">
            <w:pPr>
              <w:pStyle w:val="Hallgatokepzes"/>
            </w:pPr>
            <w:r>
              <w:t>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MOLNÁR ÁGNES</w:t>
            </w:r>
          </w:p>
          <w:p w:rsidR="00DB4822" w:rsidRDefault="00C275A3" w:rsidP="004D7940">
            <w:pPr>
              <w:pStyle w:val="Hallgatokepzes"/>
            </w:pPr>
            <w:r>
              <w:t>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Nemeskéri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Karlinger Kinga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szív ingerképző- és ingerület-vezető rendszerének artériás vérellátása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ingerképző rendszer vérellátásáról számos irodalmi adat ismert, de ezek ellentmondóak. Az ingerületvezető rendszer artériáit kevesen vizsgálták, nevezéktanuk nem egységes. Ismeretük mégis elengedhetetlen coronaria-intervenciók tervezésében és egyes ritmuszavarok kóroktana kapcsán.</w:t>
      </w:r>
      <w:r>
        <w:rPr>
          <w:color w:val="000000"/>
          <w:sz w:val="24"/>
          <w:szCs w:val="24"/>
        </w:rPr>
        <w:br/>
        <w:t xml:space="preserve">Célkitűzések: Az ingerképző- és -vezető rendszer artériáinak feltérképezése, dokumentálása, statisztika készítése és összevetése az irodalmi adatokkal, az ellentmondásos nevezéktan revíziója.</w:t>
      </w:r>
      <w:r>
        <w:rPr>
          <w:color w:val="000000"/>
          <w:sz w:val="24"/>
          <w:szCs w:val="24"/>
        </w:rPr>
        <w:br/>
        <w:t xml:space="preserve">Anyag és módszer: 95 darab humán szívet vizsgáltunk, melyek coronariáiba a Kiss M. és Dorogi B. által leírt műgyantakeveréket injektáltunk, a szöveteket maratással eltávolítottuk. A coronaria rendszer 3D öntvényén vizsgáltuk az ingervezető rendszert ellátó artériák eredését, lefutását, átmérőit. Rugalmas gyantával töltött preparátumokon mikrodisszekcióval tártuk fel ezeket az ereket. A készítményekről CT-felvételek készültek.</w:t>
      </w:r>
      <w:r>
        <w:rPr>
          <w:color w:val="000000"/>
          <w:sz w:val="24"/>
          <w:szCs w:val="24"/>
        </w:rPr>
        <w:br/>
        <w:t xml:space="preserve">Eredmények: A esetek 20 %-ában figyeltük meg a sinuscsomó, 43%-ban az AV csomó kettős vérellátását (RCA + LCA), szemben az irodalmi adatokban szereplő 2-5.9%, illetve 2-10% -os arányokkal. Egy, a CRUX régióban eredő, a septum interventriculare pars muscularis felső peremén futó artéria 25-30 mm lefutás után megtörik és két, distális irányban futó ágként, a septum jobb és bal oldalán követhető. Ezt az artériát 3 szerző, mint AV csomót ellátó artériát azonosította. Az ér lokalizációja, lefutása, az AV csomótól való távolsága alapján ezt tévesnek ítéljük, és mint a Tawara szárak proximalis részeit ellátó eret, javasoljuk a Proximal Bundle Branch Artery elnevezést. A PBBA 39%-ban a Right Postero-Lateral Branch ága, 13% a CX-ből, 9% a ramus interventricularis posteriorból, 12% a distális RCA-ból ered.</w:t>
      </w:r>
      <w:r>
        <w:rPr>
          <w:color w:val="000000"/>
          <w:sz w:val="24"/>
          <w:szCs w:val="24"/>
        </w:rPr>
        <w:br/>
        <w:t xml:space="preserve">A jobb Tawara szár középső és distális szakaszait, m. papillaris anteriort és a trabecula septomarginalisba futó rostokat ellátó artéria, a LAD legerősebb septalis ága a Descending Septal Artery (LDSA). Az LDSA minden esetben a LAD-ból ered, legyakrabban az első, második septalis ágként.</w:t>
      </w:r>
      <w:r>
        <w:rPr>
          <w:color w:val="000000"/>
          <w:sz w:val="24"/>
          <w:szCs w:val="24"/>
        </w:rPr>
        <w:br/>
        <w:t xml:space="preserve">Következtetések: A ingervezető rendszert ellátó erek száma és eredési mintázata, ellátási területe gyakran jelentősen különbözött a más szerzők által közölt adatoktól. Ez az eltérés utalhat populációs különbségekre, illetve az alkalmazott vizsgálati módszerek pontosságára. Javasoljuk a Proximal Bundle Branch artéria elnevezést, tekintettel az ér lefutására és ellátási területére.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927090">
    <w:multiLevelType w:val="hybridMultilevel"/>
    <w:lvl w:ilvl="0" w:tplc="47188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927090">
    <w:abstractNumId w:val="509270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85681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