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BRAUSWETTER</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Maria Sasvári-Székely</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Dr. Zsolt Rónai</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polymorphisms of FABP2 gene in patients with type 2 diabetes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Type 2 diabetes mellitus is one of the most frequent complex metabolic diseases. Several SNPs are known to be risk factors of the illness, however their molecular mechanism is not completely clear yet. In the last four years our goal was the comprehensive examination of the polymorphisms in the FABP2 gene. A missense polymorphism of FABP2, resulting in an alanine-threonine amino acid change has already been thoroughly investigated, but less is known about the promoter region of the gene, whereas the 3’ UTR has not yet been studied.</w:t>
      </w:r>
      <w:r>
        <w:rPr>
          <w:color w:val="000000"/>
          <w:sz w:val="24"/>
          <w:szCs w:val="24"/>
        </w:rPr>
        <w:br/>
        <w:t xml:space="preserve">Our aim was the detailed investigation of the polymorphisms in the FABP2 gene (promoter: rs2282688 and rs6857641, coding region: rs1799883 and 3’ UTR miRNA binding site: rs2964), which included their molecular characterization as well as association analysis with type 2 diabetes and its endophenotypes (BMI, family history, complications).</w:t>
      </w:r>
      <w:r>
        <w:rPr>
          <w:color w:val="000000"/>
          <w:sz w:val="24"/>
          <w:szCs w:val="24"/>
        </w:rPr>
        <w:br/>
        <w:t xml:space="preserve">Materials and Methods: Gene expression of different tissues was analyzed using real-time PCR. Genotyping was carried out by PCR and sequence-specific fluorescent probes. Haploview software was used for linkage analysis, whereas chi-square test was applied for the assessment of association.</w:t>
      </w:r>
      <w:r>
        <w:rPr>
          <w:color w:val="000000"/>
          <w:sz w:val="24"/>
          <w:szCs w:val="24"/>
        </w:rPr>
        <w:br/>
        <w:t xml:space="preserve">Results: According to the gene expression analysis, FABP2 gene is mostly expressed in pancreas and intestinal tissue, while lower expression levels were detected in other tissues. Linkage disequilibrium (LD) analysis revealed, that almost complete LD (D’ = 0,99) could be detected between polymorphisms in the promoter region. On the other hand only lower level LD could be observed between the promoter and the SNPs in the coding region, whereas weak LD was shown between these sites and SNP in the 3’ UTR. Association analysis demonstrated that polymorphism in the 3’ UTR showed significant association (p=0,011) with type 2 diabetes, and a promising association (p=0,03) was observed between the missesnse SNP (rs1799883) and certain symptoms (e.g. BMI over 25 kg/m</w:t>
      </w:r>
      <w:r>
        <w:rPr>
          <w:color w:val="000000"/>
          <w:position w:val="4"/>
          <w:sz w:val="21"/>
          <w:szCs w:val="21"/>
          <w:vertAlign w:val="superscript"/>
        </w:rPr>
        <w:t xml:space="preserve">2</w:t>
      </w:r>
      <w:r>
        <w:rPr>
          <w:color w:val="000000"/>
          <w:sz w:val="24"/>
          <w:szCs w:val="24"/>
        </w:rPr>
        <w:t xml:space="preserve">).</w:t>
      </w:r>
      <w:r>
        <w:rPr>
          <w:color w:val="000000"/>
          <w:sz w:val="24"/>
          <w:szCs w:val="24"/>
        </w:rPr>
        <w:br/>
        <w:t xml:space="preserve">Conclusions: Our findings support that the polymorphisms of FABP2 gene contribute to the development of metabolic syndrome, type 2 diabetes and its complications. Its effect exerts mainly in the digestive system and it has an important role in the transport of lipids. However, expression in the pancreas and the role of the newly tested miRNA binding site polymorphism refers to a so far not well known function of the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94224">
    <w:multiLevelType w:val="hybridMultilevel"/>
    <w:lvl w:ilvl="0" w:tplc="99624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94224">
    <w:abstractNumId w:val="65294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2815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