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NAGY</w:t>
            </w:r>
          </w:p>
          <w:p w:rsidR="00C275A3" w:rsidRDefault="00A96AEC" w:rsidP="00C275A3">
            <w:pPr>
              <w:pStyle w:val="Hallgatokepzes"/>
            </w:pPr>
            <w:r>
              <w:t>Faculty of Pharmacy</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Tretter</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Tunde Kovacs</w:t>
            </w:r>
          </w:p>
          <w:p w:rsidR="00DB4822" w:rsidRDefault="00DB4822" w:rsidP="00E11062">
            <w:pPr>
              <w:pStyle w:val="Konzulensek"/>
            </w:pPr>
            <w:r w:rsidRPr="00DB4822">
              <w:t>senior 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oxidative metabolism of BV-2 microglial cell-line with Seahorse Extracellular Flux Analyzer and Clark-electrode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Dynamic studies on oxidative metabolism of living cells have been restricted by the available methods. Oxygen consumption of adherent cells can not be measured with the classical Clark-electrode, therefore this part of bioenergetics remained still unclear. Research on brain metabolism postulated that glucose is an exclusive energy compound for the CNS. In our lab we have measured the oxygen consumption of microglial cells with a recently developed, non-electrode-based fluorimetric method (Seahorse Extracellular Flux Analyzer). The aim of our experiments was to validate this new method and to examine the characteristics of oxidative metabolism of a microglial cell-line. A specific property of BV-2 cell-line and the microglial cells that their adhesive ability is relatively weak and they maintain high viability in suspension. This feature enabled us to measure the oxygen consumption of BV-2 cells both in adherent form with Seahorse and in suspension form with Clark-electrode. In our experiments we used those potential substrates, which can be available for the cells in the cerebrospinal fluid. Beside the minimally required aminoacid components we applied glucose, pyruvate, lactate and ketone bodies, like beta-hydroxi butyrate and acetoacetate.</w:t>
      </w:r>
      <w:r>
        <w:rPr>
          <w:color w:val="000000"/>
          <w:sz w:val="24"/>
          <w:szCs w:val="24"/>
        </w:rPr>
        <w:br/>
        <w:t xml:space="preserve">We established that all of the substrates were suitable to support the oxidative metabolism and ATP synthesis of the cells and none of them influenced their viability negatively (measured with Tripan-blue staining). Oxygen consumption data derived either with Seahorse or with Clark-electrode showed a good agreement. We conclude that the BV-2 cell line show a metabolic plasticity, using wide range of substrates. Furthermore we claimed that the data obtained by Seahorse are quantitatively comparable with those obtained with the “old”, well-characterized Clark-electrode method.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76963">
    <w:multiLevelType w:val="hybridMultilevel"/>
    <w:lvl w:ilvl="0" w:tplc="49316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76963">
    <w:abstractNumId w:val="76376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304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